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#10</w:t>
      </w:r>
      <w:r>
        <w:rPr>
          <w:rFonts w:hint="eastAsia" w:eastAsia="宋体"/>
          <w:sz w:val="22"/>
          <w:szCs w:val="22"/>
          <w:lang w:eastAsia="zh-CN"/>
        </w:rPr>
        <w:t>6bis</w:t>
      </w:r>
      <w:r>
        <w:rPr>
          <w:sz w:val="22"/>
          <w:szCs w:val="22"/>
        </w:rPr>
        <w:t>-e</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2108870</w:t>
      </w:r>
    </w:p>
    <w:p>
      <w:pPr>
        <w:snapToGrid w:val="0"/>
        <w:spacing w:line="240" w:lineRule="auto"/>
        <w:rPr>
          <w:rFonts w:ascii="Arial" w:hAnsi="Arial" w:eastAsia="宋体"/>
          <w:b/>
          <w:sz w:val="22"/>
        </w:rPr>
      </w:pPr>
      <w:r>
        <w:rPr>
          <w:rFonts w:ascii="Arial" w:hAnsi="Arial"/>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 xml:space="preserve">October </w:t>
      </w:r>
      <w:r>
        <w:rPr>
          <w:rFonts w:hint="eastAsia" w:ascii="Arial" w:hAnsi="Arial"/>
          <w:b/>
          <w:sz w:val="22"/>
          <w:lang w:eastAsia="ja-JP"/>
        </w:rPr>
        <w:t>1</w:t>
      </w:r>
      <w:r>
        <w:rPr>
          <w:rFonts w:hint="eastAsia" w:ascii="Arial" w:hAnsi="Arial" w:eastAsia="宋体"/>
          <w:b/>
          <w:sz w:val="22"/>
        </w:rPr>
        <w:t>1</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w:t>
      </w:r>
      <w:r>
        <w:rPr>
          <w:rFonts w:hint="eastAsia" w:ascii="Arial" w:hAnsi="Arial" w:eastAsia="宋体"/>
          <w:b/>
          <w:sz w:val="22"/>
        </w:rPr>
        <w:t>19</w:t>
      </w:r>
      <w:r>
        <w:rPr>
          <w:rFonts w:hint="eastAsia" w:ascii="Arial" w:hAnsi="Arial"/>
          <w:b/>
          <w:sz w:val="22"/>
          <w:vertAlign w:val="superscript"/>
        </w:rPr>
        <w:t>th</w:t>
      </w:r>
      <w:r>
        <w:rPr>
          <w:rFonts w:hint="eastAsia" w:ascii="Arial" w:hAnsi="Arial"/>
          <w:b/>
          <w:sz w:val="22"/>
          <w:lang w:eastAsia="ja-JP"/>
        </w:rPr>
        <w:t>, 202</w:t>
      </w:r>
      <w:r>
        <w:rPr>
          <w:rFonts w:hint="eastAsia" w:ascii="Arial" w:hAnsi="Arial" w:eastAsia="宋体"/>
          <w:b/>
          <w:sz w:val="22"/>
        </w:rPr>
        <w:t>1</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Enhancements on Multi-beam Operation</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8.1.1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240" w:after="120" w:afterLines="50" w:line="240" w:lineRule="auto"/>
        <w:ind w:left="425" w:hanging="425"/>
        <w:jc w:val="both"/>
        <w:outlineLvl w:val="0"/>
        <w:rPr>
          <w:rFonts w:eastAsia="宋体"/>
          <w:b/>
          <w:sz w:val="28"/>
          <w:szCs w:val="28"/>
        </w:rPr>
      </w:pPr>
      <w:r>
        <w:rPr>
          <w:rFonts w:eastAsia="宋体"/>
          <w:b/>
          <w:sz w:val="28"/>
          <w:szCs w:val="28"/>
        </w:rPr>
        <w:t>Introduction</w:t>
      </w:r>
    </w:p>
    <w:p>
      <w:pPr>
        <w:snapToGrid w:val="0"/>
        <w:spacing w:before="120" w:after="120" w:afterLines="50" w:line="300" w:lineRule="auto"/>
        <w:jc w:val="both"/>
        <w:rPr>
          <w:rFonts w:eastAsia="微软雅黑"/>
          <w:szCs w:val="20"/>
        </w:rPr>
      </w:pPr>
      <w:r>
        <w:rPr>
          <w:rFonts w:hint="eastAsia" w:eastAsia="微软雅黑"/>
          <w:szCs w:val="20"/>
          <w:lang w:val="en-GB"/>
        </w:rPr>
        <w:t>I</w:t>
      </w:r>
      <w:r>
        <w:rPr>
          <w:rFonts w:eastAsia="微软雅黑"/>
          <w:szCs w:val="20"/>
          <w:lang w:val="en-GB"/>
        </w:rPr>
        <w:t>n RAN</w:t>
      </w:r>
      <w:r>
        <w:rPr>
          <w:rFonts w:hint="eastAsia" w:eastAsia="微软雅黑"/>
          <w:szCs w:val="20"/>
        </w:rPr>
        <w:t>1</w:t>
      </w:r>
      <w:r>
        <w:rPr>
          <w:rFonts w:eastAsia="微软雅黑"/>
          <w:szCs w:val="20"/>
          <w:lang w:val="en-GB"/>
        </w:rPr>
        <w:t>#</w:t>
      </w:r>
      <w:r>
        <w:rPr>
          <w:rFonts w:hint="eastAsia" w:eastAsia="微软雅黑"/>
          <w:szCs w:val="20"/>
        </w:rPr>
        <w:t>106</w:t>
      </w:r>
      <w:r>
        <w:rPr>
          <w:rFonts w:eastAsia="微软雅黑"/>
          <w:szCs w:val="20"/>
        </w:rPr>
        <w:t>-</w:t>
      </w:r>
      <w:r>
        <w:rPr>
          <w:rFonts w:hint="eastAsia" w:eastAsia="微软雅黑"/>
          <w:szCs w:val="20"/>
        </w:rPr>
        <w:t xml:space="preserve">e </w:t>
      </w:r>
      <w:r>
        <w:rPr>
          <w:rFonts w:hint="eastAsia" w:eastAsia="宋体"/>
        </w:rPr>
        <w:t>[1] and previous meetings</w:t>
      </w:r>
      <w:r>
        <w:rPr>
          <w:rFonts w:eastAsia="微软雅黑"/>
          <w:szCs w:val="20"/>
          <w:lang w:val="en-GB"/>
        </w:rPr>
        <w:t xml:space="preserve">, </w:t>
      </w:r>
      <w:r>
        <w:rPr>
          <w:rFonts w:hint="eastAsia" w:eastAsia="微软雅黑"/>
          <w:szCs w:val="20"/>
        </w:rPr>
        <w:t xml:space="preserve">enhancements on </w:t>
      </w:r>
      <w:r>
        <w:rPr>
          <w:rFonts w:hint="eastAsia" w:eastAsia="宋体"/>
        </w:rPr>
        <w:t>mu</w:t>
      </w:r>
      <w:r>
        <w:rPr>
          <w:rFonts w:eastAsia="宋体"/>
        </w:rPr>
        <w:t>l</w:t>
      </w:r>
      <w:r>
        <w:rPr>
          <w:rFonts w:hint="eastAsia" w:eastAsia="宋体"/>
        </w:rPr>
        <w:t xml:space="preserve">ti-beam operation were discussed and progresses were reached on </w:t>
      </w:r>
      <w:r>
        <w:rPr>
          <w:rFonts w:cs="Times"/>
          <w:szCs w:val="20"/>
        </w:rPr>
        <w:t>unified TCI framework</w:t>
      </w:r>
      <w:r>
        <w:rPr>
          <w:rFonts w:hint="eastAsia" w:eastAsia="宋体" w:cs="Times"/>
          <w:szCs w:val="20"/>
        </w:rPr>
        <w:t xml:space="preserve">, </w:t>
      </w:r>
      <w:r>
        <w:rPr>
          <w:rFonts w:cs="Times"/>
          <w:szCs w:val="20"/>
        </w:rPr>
        <w:t>L1/L2-centric inter-cell mobility, UL fast panel selection</w:t>
      </w:r>
      <w:r>
        <w:rPr>
          <w:rFonts w:hint="eastAsia" w:eastAsia="宋体" w:cs="Times"/>
          <w:szCs w:val="20"/>
        </w:rPr>
        <w:t xml:space="preserve">, </w:t>
      </w:r>
      <w:r>
        <w:rPr>
          <w:rFonts w:cs="Times"/>
          <w:szCs w:val="20"/>
        </w:rPr>
        <w:t xml:space="preserve">enhancement </w:t>
      </w:r>
      <w:r>
        <w:rPr>
          <w:rFonts w:hint="eastAsia" w:eastAsia="宋体" w:cs="Times"/>
          <w:szCs w:val="20"/>
        </w:rPr>
        <w:t xml:space="preserve">related to </w:t>
      </w:r>
      <w:r>
        <w:rPr>
          <w:rFonts w:cs="Times"/>
          <w:szCs w:val="20"/>
        </w:rPr>
        <w:t>MP-UE</w:t>
      </w:r>
      <w:r>
        <w:rPr>
          <w:rFonts w:hint="eastAsia" w:eastAsia="宋体" w:cs="Times"/>
          <w:szCs w:val="20"/>
        </w:rPr>
        <w:t xml:space="preserve"> and </w:t>
      </w:r>
      <w:r>
        <w:rPr>
          <w:rFonts w:eastAsia="微软雅黑"/>
          <w:szCs w:val="20"/>
          <w:lang w:val="en-GB"/>
        </w:rPr>
        <w:t>advanced beam training/tracking with latency reduction</w:t>
      </w:r>
      <w:r>
        <w:rPr>
          <w:rFonts w:hint="eastAsia" w:eastAsia="宋体" w:cs="Times"/>
          <w:szCs w:val="20"/>
        </w:rPr>
        <w:t xml:space="preserve">. </w:t>
      </w:r>
      <w:r>
        <w:rPr>
          <w:rFonts w:hint="eastAsia" w:eastAsia="微软雅黑"/>
          <w:szCs w:val="20"/>
          <w:lang w:val="en-GB"/>
        </w:rPr>
        <w:t xml:space="preserve">In this contribution, </w:t>
      </w:r>
      <w:r>
        <w:rPr>
          <w:rFonts w:hint="eastAsia" w:eastAsia="微软雅黑"/>
          <w:szCs w:val="20"/>
        </w:rPr>
        <w:t xml:space="preserve">we </w:t>
      </w:r>
      <w:r>
        <w:rPr>
          <w:rFonts w:eastAsia="微软雅黑"/>
          <w:szCs w:val="20"/>
        </w:rPr>
        <w:t>analyze</w:t>
      </w:r>
      <w:r>
        <w:rPr>
          <w:rFonts w:hint="eastAsia" w:eastAsia="微软雅黑"/>
          <w:szCs w:val="20"/>
        </w:rPr>
        <w:t xml:space="preserve"> further details and provide </w:t>
      </w:r>
      <w:r>
        <w:rPr>
          <w:rFonts w:eastAsia="微软雅黑"/>
          <w:szCs w:val="20"/>
          <w:lang w:val="en-GB"/>
        </w:rPr>
        <w:t xml:space="preserve">our views </w:t>
      </w:r>
      <w:r>
        <w:rPr>
          <w:rFonts w:hint="eastAsia" w:eastAsia="微软雅黑"/>
          <w:szCs w:val="20"/>
        </w:rPr>
        <w:t>on these topics. In addition, w</w:t>
      </w:r>
      <w:bookmarkStart w:id="11" w:name="_GoBack"/>
      <w:bookmarkEnd w:id="11"/>
      <w:r>
        <w:rPr>
          <w:rFonts w:hint="eastAsia" w:eastAsia="微软雅黑"/>
          <w:szCs w:val="20"/>
        </w:rPr>
        <w:t xml:space="preserve">e also discuss and provide comments about RRC parameters for multi-beam operation in section 5. </w:t>
      </w:r>
    </w:p>
    <w:p>
      <w:pPr>
        <w:keepNext/>
        <w:widowControl w:val="0"/>
        <w:numPr>
          <w:ilvl w:val="0"/>
          <w:numId w:val="7"/>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Enhancement for efficient DL/UL beam management</w:t>
      </w:r>
    </w:p>
    <w:p>
      <w:pPr>
        <w:numPr>
          <w:ilvl w:val="1"/>
          <w:numId w:val="7"/>
        </w:numPr>
        <w:tabs>
          <w:tab w:val="clear" w:pos="576"/>
        </w:tabs>
        <w:snapToGrid w:val="0"/>
        <w:spacing w:before="240" w:after="120" w:afterLines="50" w:line="240" w:lineRule="auto"/>
        <w:ind w:left="567" w:hanging="567"/>
        <w:jc w:val="both"/>
        <w:outlineLvl w:val="1"/>
        <w:rPr>
          <w:rFonts w:eastAsia="宋体"/>
          <w:b/>
          <w:sz w:val="24"/>
          <w:szCs w:val="20"/>
        </w:rPr>
      </w:pPr>
      <w:r>
        <w:rPr>
          <w:rFonts w:eastAsia="宋体"/>
          <w:b/>
          <w:sz w:val="24"/>
          <w:szCs w:val="20"/>
        </w:rPr>
        <w:t>Unified TCI framework for both DL and UL</w:t>
      </w:r>
    </w:p>
    <w:p>
      <w:pPr>
        <w:snapToGrid w:val="0"/>
        <w:spacing w:before="120" w:after="120" w:afterLines="50" w:line="300" w:lineRule="auto"/>
        <w:jc w:val="both"/>
        <w:rPr>
          <w:rFonts w:eastAsia="微软雅黑"/>
          <w:szCs w:val="20"/>
        </w:rPr>
      </w:pPr>
      <w:r>
        <w:rPr>
          <w:rFonts w:hint="eastAsia" w:eastAsia="微软雅黑"/>
          <w:szCs w:val="20"/>
          <w:lang w:val="en-GB"/>
        </w:rPr>
        <w:t xml:space="preserve">The objective of unified TCI framework is to achieve a flexible beam </w:t>
      </w:r>
      <w:r>
        <w:rPr>
          <w:rFonts w:eastAsia="微软雅黑"/>
          <w:szCs w:val="20"/>
          <w:lang w:val="en-GB"/>
        </w:rPr>
        <w:t>update</w:t>
      </w:r>
      <w:r>
        <w:rPr>
          <w:rFonts w:hint="eastAsia" w:eastAsia="微软雅黑"/>
          <w:szCs w:val="20"/>
          <w:lang w:val="en-GB"/>
        </w:rPr>
        <w:t xml:space="preserve"> scheme for DL</w:t>
      </w:r>
      <w:r>
        <w:rPr>
          <w:rFonts w:eastAsia="微软雅黑"/>
          <w:szCs w:val="20"/>
          <w:lang w:val="en-GB"/>
        </w:rPr>
        <w:t xml:space="preserve">/UL data and control transmission/reception </w:t>
      </w:r>
      <w:r>
        <w:rPr>
          <w:rFonts w:hint="eastAsia" w:eastAsia="微软雅黑"/>
          <w:szCs w:val="20"/>
          <w:lang w:val="en-GB"/>
        </w:rPr>
        <w:t xml:space="preserve">with low </w:t>
      </w:r>
      <w:r>
        <w:rPr>
          <w:rFonts w:eastAsia="微软雅黑"/>
          <w:szCs w:val="20"/>
          <w:lang w:val="en-GB"/>
        </w:rPr>
        <w:t>signalling</w:t>
      </w:r>
      <w:r>
        <w:rPr>
          <w:rFonts w:hint="eastAsia" w:eastAsia="微软雅黑"/>
          <w:szCs w:val="20"/>
          <w:lang w:val="en-GB"/>
        </w:rPr>
        <w:t xml:space="preserve"> overhead and latency.</w:t>
      </w:r>
      <w:r>
        <w:rPr>
          <w:rFonts w:eastAsia="微软雅黑"/>
          <w:szCs w:val="20"/>
          <w:lang w:val="en-GB"/>
        </w:rPr>
        <w:t xml:space="preserve"> </w:t>
      </w:r>
      <w:r>
        <w:rPr>
          <w:rFonts w:hint="eastAsia" w:eastAsia="微软雅黑"/>
          <w:szCs w:val="20"/>
        </w:rPr>
        <w:t xml:space="preserve">The at least one source RS of a TCI state provides a reference for determining QCL </w:t>
      </w:r>
      <w:r>
        <w:rPr>
          <w:rFonts w:eastAsia="微软雅黑"/>
          <w:szCs w:val="20"/>
        </w:rPr>
        <w:t xml:space="preserve">assumption </w:t>
      </w:r>
      <w:r>
        <w:rPr>
          <w:rFonts w:hint="eastAsia" w:eastAsia="微软雅黑"/>
          <w:szCs w:val="20"/>
        </w:rPr>
        <w:t xml:space="preserve">and/or spatial filter. </w:t>
      </w:r>
    </w:p>
    <w:p>
      <w:pPr>
        <w:numPr>
          <w:ilvl w:val="2"/>
          <w:numId w:val="7"/>
        </w:numPr>
        <w:tabs>
          <w:tab w:val="clear" w:pos="720"/>
        </w:tabs>
        <w:snapToGrid w:val="0"/>
        <w:spacing w:before="240" w:after="120" w:afterLines="50" w:line="240" w:lineRule="auto"/>
        <w:ind w:left="607" w:hanging="607"/>
        <w:jc w:val="both"/>
        <w:outlineLvl w:val="2"/>
        <w:rPr>
          <w:b/>
          <w:bCs/>
          <w:sz w:val="21"/>
          <w:szCs w:val="21"/>
        </w:rPr>
      </w:pPr>
      <w:r>
        <w:rPr>
          <w:rFonts w:eastAsia="宋体"/>
          <w:b/>
          <w:bCs/>
          <w:sz w:val="21"/>
          <w:szCs w:val="21"/>
        </w:rPr>
        <w:t xml:space="preserve">Configuration framework for unified TCI </w:t>
      </w:r>
    </w:p>
    <w:p>
      <w:pPr>
        <w:snapToGrid w:val="0"/>
        <w:spacing w:before="120" w:after="120" w:afterLines="50" w:line="300" w:lineRule="auto"/>
        <w:jc w:val="both"/>
        <w:rPr>
          <w:rFonts w:eastAsia="微软雅黑"/>
          <w:szCs w:val="20"/>
        </w:rPr>
      </w:pPr>
      <w:r>
        <w:rPr>
          <w:rFonts w:eastAsia="微软雅黑"/>
          <w:szCs w:val="20"/>
        </w:rPr>
        <w:t xml:space="preserve">In </w:t>
      </w:r>
      <w:r>
        <w:rPr>
          <w:rFonts w:hint="eastAsia" w:eastAsia="微软雅黑"/>
          <w:szCs w:val="20"/>
        </w:rPr>
        <w:t>previous</w:t>
      </w:r>
      <w:r>
        <w:rPr>
          <w:rFonts w:eastAsia="微软雅黑"/>
          <w:szCs w:val="20"/>
        </w:rPr>
        <w:t xml:space="preserve"> </w:t>
      </w:r>
      <w:r>
        <w:rPr>
          <w:rFonts w:hint="eastAsia" w:eastAsia="微软雅黑"/>
          <w:szCs w:val="20"/>
        </w:rPr>
        <w:t xml:space="preserve">RAN1 </w:t>
      </w:r>
      <w:r>
        <w:rPr>
          <w:rFonts w:eastAsia="微软雅黑"/>
          <w:szCs w:val="20"/>
        </w:rPr>
        <w:t>meeting</w:t>
      </w:r>
      <w:r>
        <w:rPr>
          <w:rFonts w:hint="eastAsia" w:eastAsia="微软雅黑"/>
          <w:szCs w:val="20"/>
        </w:rPr>
        <w:t>s</w:t>
      </w:r>
      <w:r>
        <w:rPr>
          <w:rFonts w:eastAsia="微软雅黑"/>
          <w:szCs w:val="20"/>
        </w:rPr>
        <w:t xml:space="preserve">, it </w:t>
      </w:r>
      <w:r>
        <w:rPr>
          <w:rFonts w:hint="eastAsia" w:eastAsia="微软雅黑"/>
          <w:szCs w:val="20"/>
        </w:rPr>
        <w:t>was</w:t>
      </w:r>
      <w:r>
        <w:rPr>
          <w:rFonts w:eastAsia="微软雅黑"/>
          <w:szCs w:val="20"/>
        </w:rPr>
        <w:t xml:space="preserve"> agreed that both joint and separate TCI state indication </w:t>
      </w:r>
      <w:r>
        <w:rPr>
          <w:rFonts w:hint="eastAsia" w:eastAsia="微软雅黑"/>
          <w:szCs w:val="20"/>
        </w:rPr>
        <w:t xml:space="preserve">schemes are </w:t>
      </w:r>
      <w:r>
        <w:rPr>
          <w:rFonts w:eastAsia="微软雅黑"/>
          <w:szCs w:val="20"/>
        </w:rPr>
        <w:t xml:space="preserve">supported in Rel-17. Meanwhile, the common RRC </w:t>
      </w:r>
      <w:r>
        <w:rPr>
          <w:rFonts w:hint="eastAsia" w:eastAsia="微软雅黑"/>
          <w:szCs w:val="20"/>
        </w:rPr>
        <w:t xml:space="preserve">configured TCI state </w:t>
      </w:r>
      <w:r>
        <w:rPr>
          <w:rFonts w:eastAsia="微软雅黑"/>
          <w:szCs w:val="20"/>
        </w:rPr>
        <w:t xml:space="preserve">pool for joint </w:t>
      </w:r>
      <w:r>
        <w:rPr>
          <w:rFonts w:hint="eastAsia" w:eastAsia="微软雅黑"/>
          <w:szCs w:val="20"/>
        </w:rPr>
        <w:t xml:space="preserve">TCI state </w:t>
      </w:r>
      <w:r>
        <w:rPr>
          <w:rFonts w:eastAsia="微软雅黑"/>
          <w:szCs w:val="20"/>
        </w:rPr>
        <w:t>indication has been agreed. But, for separate DL and UL TCI state indication</w:t>
      </w:r>
      <w:r>
        <w:rPr>
          <w:rFonts w:hint="eastAsia" w:eastAsia="微软雅黑"/>
          <w:szCs w:val="20"/>
        </w:rPr>
        <w:t>,</w:t>
      </w:r>
      <w:r>
        <w:rPr>
          <w:rFonts w:eastAsia="微软雅黑"/>
          <w:szCs w:val="20"/>
        </w:rPr>
        <w:t xml:space="preserve"> </w:t>
      </w:r>
      <w:r>
        <w:rPr>
          <w:rFonts w:hint="eastAsia" w:eastAsia="微软雅黑"/>
          <w:szCs w:val="20"/>
        </w:rPr>
        <w:t>whether a common or a separate RRC TCI state pool</w:t>
      </w:r>
      <w:r>
        <w:rPr>
          <w:rFonts w:eastAsia="微软雅黑"/>
          <w:szCs w:val="20"/>
        </w:rPr>
        <w:t xml:space="preserve"> </w:t>
      </w:r>
      <w:r>
        <w:rPr>
          <w:rFonts w:hint="eastAsia" w:eastAsia="微软雅黑"/>
          <w:szCs w:val="20"/>
        </w:rPr>
        <w:t xml:space="preserve">should be adopted </w:t>
      </w:r>
      <w:r>
        <w:rPr>
          <w:rFonts w:eastAsia="微软雅黑"/>
          <w:szCs w:val="20"/>
        </w:rPr>
        <w:t>is still FFS.</w:t>
      </w:r>
      <w:r>
        <w:rPr>
          <w:rFonts w:hint="eastAsia" w:eastAsia="微软雅黑"/>
          <w:szCs w:val="20"/>
        </w:rPr>
        <w:t xml:space="preserve"> Besides, how to support </w:t>
      </w:r>
      <w:r>
        <w:rPr>
          <w:rFonts w:eastAsia="微软雅黑"/>
          <w:szCs w:val="20"/>
        </w:rPr>
        <w:t xml:space="preserve">activating </w:t>
      </w:r>
      <w:r>
        <w:rPr>
          <w:rFonts w:hint="eastAsia" w:eastAsia="微软雅黑"/>
          <w:szCs w:val="20"/>
        </w:rPr>
        <w:t xml:space="preserve">TCI state sets </w:t>
      </w:r>
      <w:r>
        <w:rPr>
          <w:rFonts w:eastAsia="微软雅黑"/>
          <w:szCs w:val="20"/>
        </w:rPr>
        <w:t>via</w:t>
      </w:r>
      <w:r>
        <w:rPr>
          <w:rFonts w:hint="eastAsia" w:eastAsia="微软雅黑"/>
          <w:szCs w:val="20"/>
        </w:rPr>
        <w:t xml:space="preserve"> MAC CE is also FFS.</w:t>
      </w:r>
    </w:p>
    <w:p>
      <w:pPr>
        <w:numPr>
          <w:ilvl w:val="0"/>
          <w:numId w:val="8"/>
        </w:numPr>
        <w:snapToGrid w:val="0"/>
        <w:spacing w:before="120" w:after="120" w:afterLines="50" w:line="300" w:lineRule="auto"/>
        <w:ind w:left="400"/>
        <w:jc w:val="both"/>
        <w:rPr>
          <w:rFonts w:eastAsia="微软雅黑"/>
          <w:szCs w:val="20"/>
        </w:rPr>
      </w:pPr>
      <w:r>
        <w:rPr>
          <w:rFonts w:eastAsia="微软雅黑"/>
          <w:szCs w:val="20"/>
        </w:rPr>
        <w:t>Regarding RRC configured TCI state pool</w:t>
      </w:r>
      <w:r>
        <w:rPr>
          <w:rFonts w:hint="eastAsia" w:eastAsia="微软雅黑"/>
          <w:szCs w:val="20"/>
        </w:rPr>
        <w:t xml:space="preserve"> for </w:t>
      </w:r>
      <w:r>
        <w:rPr>
          <w:rFonts w:eastAsia="微软雅黑"/>
          <w:szCs w:val="20"/>
        </w:rPr>
        <w:t>separate DL and UL TCI state indication scheme, we suggest a common RRC configured TCI state pool</w:t>
      </w:r>
      <w:r>
        <w:rPr>
          <w:rFonts w:hint="eastAsia" w:eastAsia="微软雅黑"/>
          <w:szCs w:val="20"/>
        </w:rPr>
        <w:t xml:space="preserve">. Because </w:t>
      </w:r>
      <w:r>
        <w:rPr>
          <w:rFonts w:eastAsia="微软雅黑"/>
          <w:szCs w:val="20"/>
        </w:rPr>
        <w:t xml:space="preserve">if </w:t>
      </w:r>
      <w:r>
        <w:rPr>
          <w:rFonts w:hint="eastAsia" w:eastAsia="微软雅黑"/>
          <w:szCs w:val="20"/>
        </w:rPr>
        <w:t>there are</w:t>
      </w:r>
      <w:r>
        <w:rPr>
          <w:rFonts w:eastAsia="微软雅黑"/>
          <w:szCs w:val="20"/>
        </w:rPr>
        <w:t xml:space="preserve"> two separate pools for DL and UL TCI state indication, a total independent configuration for UL TCI state (related to all candidate UL beam</w:t>
      </w:r>
      <w:r>
        <w:rPr>
          <w:rFonts w:hint="eastAsia" w:eastAsia="微软雅黑"/>
          <w:szCs w:val="20"/>
        </w:rPr>
        <w:t>s</w:t>
      </w:r>
      <w:r>
        <w:rPr>
          <w:rFonts w:eastAsia="微软雅黑"/>
          <w:szCs w:val="20"/>
        </w:rPr>
        <w:t xml:space="preserve">, e.g., up to 64 states) is needed, like Rel-15/16 </w:t>
      </w:r>
      <w:r>
        <w:rPr>
          <w:rFonts w:eastAsia="微软雅黑"/>
          <w:i/>
          <w:iCs/>
          <w:szCs w:val="20"/>
        </w:rPr>
        <w:t xml:space="preserve">spatialRelationInfo </w:t>
      </w:r>
      <w:r>
        <w:rPr>
          <w:rFonts w:eastAsia="微软雅黑"/>
          <w:szCs w:val="20"/>
        </w:rPr>
        <w:t xml:space="preserve">configuration. It </w:t>
      </w:r>
      <w:r>
        <w:rPr>
          <w:rFonts w:hint="eastAsia" w:eastAsia="微软雅黑"/>
          <w:szCs w:val="20"/>
        </w:rPr>
        <w:t xml:space="preserve">may cause a huge </w:t>
      </w:r>
      <w:r>
        <w:rPr>
          <w:rFonts w:eastAsia="微软雅黑"/>
          <w:szCs w:val="20"/>
        </w:rPr>
        <w:t>RRC overhead and redundan</w:t>
      </w:r>
      <w:r>
        <w:rPr>
          <w:rFonts w:hint="eastAsia" w:eastAsia="微软雅黑"/>
          <w:szCs w:val="20"/>
        </w:rPr>
        <w:t>cy</w:t>
      </w:r>
      <w:r>
        <w:rPr>
          <w:rFonts w:eastAsia="微软雅黑"/>
          <w:szCs w:val="20"/>
        </w:rPr>
        <w:t xml:space="preserve"> while considering DL TCI state configuration. </w:t>
      </w:r>
    </w:p>
    <w:p>
      <w:pPr>
        <w:numPr>
          <w:ilvl w:val="0"/>
          <w:numId w:val="8"/>
        </w:numPr>
        <w:snapToGrid w:val="0"/>
        <w:spacing w:before="120" w:after="120" w:afterLines="50" w:line="300" w:lineRule="auto"/>
        <w:ind w:left="400"/>
        <w:jc w:val="both"/>
        <w:rPr>
          <w:rFonts w:eastAsia="微软雅黑"/>
          <w:szCs w:val="20"/>
        </w:rPr>
      </w:pPr>
      <w:r>
        <w:rPr>
          <w:rFonts w:eastAsia="微软雅黑"/>
          <w:szCs w:val="20"/>
        </w:rPr>
        <w:t xml:space="preserve">Regarding MAC </w:t>
      </w:r>
      <w:r>
        <w:rPr>
          <w:rFonts w:hint="eastAsia" w:eastAsia="微软雅黑"/>
          <w:szCs w:val="20"/>
        </w:rPr>
        <w:t>CE</w:t>
      </w:r>
      <w:r>
        <w:rPr>
          <w:rFonts w:eastAsia="微软雅黑"/>
          <w:szCs w:val="20"/>
        </w:rPr>
        <w:t>, we have the following views.</w:t>
      </w:r>
    </w:p>
    <w:p>
      <w:pPr>
        <w:numPr>
          <w:ilvl w:val="1"/>
          <w:numId w:val="8"/>
        </w:numPr>
        <w:snapToGrid w:val="0"/>
        <w:spacing w:before="120" w:after="120" w:afterLines="50" w:line="300" w:lineRule="auto"/>
        <w:ind w:left="800"/>
        <w:jc w:val="both"/>
        <w:rPr>
          <w:rFonts w:eastAsia="微软雅黑"/>
          <w:szCs w:val="20"/>
        </w:rPr>
      </w:pPr>
      <w:r>
        <w:rPr>
          <w:rFonts w:eastAsia="微软雅黑"/>
          <w:szCs w:val="20"/>
        </w:rPr>
        <w:t xml:space="preserve">For joint TCI state indication, </w:t>
      </w:r>
      <w:r>
        <w:rPr>
          <w:rFonts w:hint="eastAsia" w:eastAsia="微软雅黑"/>
          <w:szCs w:val="20"/>
        </w:rPr>
        <w:t xml:space="preserve">it seems that </w:t>
      </w:r>
      <w:r>
        <w:rPr>
          <w:rFonts w:eastAsia="微软雅黑"/>
          <w:szCs w:val="20"/>
        </w:rPr>
        <w:t xml:space="preserve">a single common TCI </w:t>
      </w:r>
      <w:r>
        <w:rPr>
          <w:rFonts w:hint="eastAsia" w:eastAsia="微软雅黑"/>
          <w:szCs w:val="20"/>
        </w:rPr>
        <w:t xml:space="preserve">state set </w:t>
      </w:r>
      <w:r>
        <w:rPr>
          <w:rFonts w:eastAsia="微软雅黑"/>
          <w:szCs w:val="20"/>
        </w:rPr>
        <w:t>in MAC-CE is also sufficient, like reusing the TCI state pool activated for PDSCH by legacy Rel-15 MAC-CE;</w:t>
      </w:r>
    </w:p>
    <w:p>
      <w:pPr>
        <w:numPr>
          <w:ilvl w:val="1"/>
          <w:numId w:val="8"/>
        </w:numPr>
        <w:snapToGrid w:val="0"/>
        <w:spacing w:before="120" w:after="120" w:afterLines="50" w:line="300" w:lineRule="auto"/>
        <w:ind w:left="800"/>
        <w:jc w:val="both"/>
        <w:rPr>
          <w:rFonts w:eastAsia="微软雅黑"/>
          <w:szCs w:val="20"/>
        </w:rPr>
      </w:pPr>
      <w:r>
        <w:rPr>
          <w:rFonts w:eastAsia="微软雅黑"/>
          <w:szCs w:val="20"/>
        </w:rPr>
        <w:t>For separate DL and UL TCI state indication, one TCI codepoint can be activated with a DL TCI state, a</w:t>
      </w:r>
      <w:r>
        <w:rPr>
          <w:rFonts w:hint="eastAsia" w:eastAsia="微软雅黑"/>
          <w:szCs w:val="20"/>
        </w:rPr>
        <w:t>n</w:t>
      </w:r>
      <w:r>
        <w:rPr>
          <w:rFonts w:eastAsia="微软雅黑"/>
          <w:szCs w:val="20"/>
        </w:rPr>
        <w:t xml:space="preserve"> UL TCI state, or 2 independent TCI states for DL and UL respectively, by MAC-CE.</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1</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 pool </w:t>
      </w:r>
      <w:r>
        <w:rPr>
          <w:rFonts w:eastAsia="微软雅黑"/>
          <w:i/>
          <w:szCs w:val="20"/>
          <w:lang w:val="en-GB"/>
        </w:rPr>
        <w:t xml:space="preserve">in RRC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w:t>
      </w:r>
    </w:p>
    <w:p>
      <w:pPr>
        <w:pStyle w:val="99"/>
        <w:numPr>
          <w:ilvl w:val="0"/>
          <w:numId w:val="8"/>
        </w:numPr>
        <w:snapToGrid w:val="0"/>
        <w:spacing w:before="60" w:beforeLines="25" w:after="60" w:afterLines="25" w:line="300" w:lineRule="auto"/>
        <w:ind w:left="400" w:firstLineChars="0"/>
        <w:jc w:val="both"/>
        <w:rPr>
          <w:rFonts w:ascii="Times" w:hAnsi="Times" w:eastAsia="宋体" w:cs="Times"/>
          <w:i/>
          <w:iCs/>
          <w:szCs w:val="20"/>
        </w:rPr>
      </w:pPr>
      <w:r>
        <w:rPr>
          <w:rFonts w:ascii="Times" w:hAnsi="Times" w:eastAsia="宋体" w:cs="Times"/>
          <w:i/>
          <w:iCs/>
          <w:szCs w:val="20"/>
        </w:rPr>
        <w:t>For joint TCI state indication, the legacy Rel-15 MAC-CE for PDSCH TCI state activation/deactivation can be used.</w:t>
      </w:r>
    </w:p>
    <w:p>
      <w:pPr>
        <w:pStyle w:val="99"/>
        <w:numPr>
          <w:ilvl w:val="0"/>
          <w:numId w:val="8"/>
        </w:numPr>
        <w:snapToGrid w:val="0"/>
        <w:spacing w:before="60" w:beforeLines="25" w:after="60" w:afterLines="25" w:line="300" w:lineRule="auto"/>
        <w:ind w:left="400" w:firstLineChars="0"/>
        <w:jc w:val="both"/>
        <w:rPr>
          <w:rFonts w:ascii="Times" w:hAnsi="Times" w:eastAsia="宋体" w:cs="Times"/>
          <w:i/>
          <w:iCs/>
          <w:szCs w:val="20"/>
          <w:lang w:val="en-GB"/>
        </w:rPr>
      </w:pPr>
      <w:r>
        <w:rPr>
          <w:rFonts w:ascii="Times" w:hAnsi="Times" w:eastAsia="宋体" w:cs="Times"/>
          <w:i/>
          <w:iCs/>
          <w:szCs w:val="20"/>
        </w:rPr>
        <w:t xml:space="preserve">For separate DL and UL TCI state indication, </w:t>
      </w:r>
      <w:r>
        <w:rPr>
          <w:rFonts w:ascii="Times" w:hAnsi="Times" w:eastAsia="宋体" w:cs="Times"/>
          <w:i/>
          <w:iCs/>
          <w:szCs w:val="20"/>
          <w:lang w:val="en-GB"/>
        </w:rPr>
        <w:t xml:space="preserve">a new MAC-CE is introduced for associating </w:t>
      </w:r>
      <w:r>
        <w:rPr>
          <w:rFonts w:ascii="Times" w:hAnsi="Times" w:eastAsia="宋体" w:cs="Times"/>
          <w:i/>
          <w:iCs/>
          <w:szCs w:val="20"/>
        </w:rPr>
        <w:t xml:space="preserve">one </w:t>
      </w:r>
      <w:r>
        <w:rPr>
          <w:rFonts w:ascii="Times" w:hAnsi="Times" w:eastAsia="宋体" w:cs="Times"/>
          <w:i/>
          <w:iCs/>
          <w:szCs w:val="20"/>
          <w:lang w:val="en-GB"/>
        </w:rPr>
        <w:t>TCI codepoint with up to 2 TCI states for DL and/or UL respectively, which means that the legacy TCI field in DCI can be reused.</w:t>
      </w:r>
    </w:p>
    <w:p>
      <w:pPr>
        <w:snapToGrid w:val="0"/>
        <w:spacing w:before="120" w:after="120" w:afterLines="50" w:line="300" w:lineRule="auto"/>
        <w:jc w:val="both"/>
        <w:rPr>
          <w:rFonts w:eastAsia="微软雅黑"/>
          <w:szCs w:val="20"/>
        </w:rPr>
      </w:pPr>
      <w:r>
        <w:rPr>
          <w:rFonts w:hint="eastAsia" w:eastAsia="微软雅黑"/>
          <w:szCs w:val="20"/>
        </w:rPr>
        <w:t>Regarding the maximum number of TCI states</w:t>
      </w:r>
      <w:r>
        <w:rPr>
          <w:rFonts w:eastAsia="微软雅黑"/>
          <w:szCs w:val="20"/>
        </w:rPr>
        <w:t xml:space="preserve"> configured in RRC</w:t>
      </w:r>
      <w:r>
        <w:rPr>
          <w:rFonts w:hint="eastAsia" w:eastAsia="微软雅黑"/>
          <w:szCs w:val="20"/>
        </w:rPr>
        <w:t xml:space="preserve">, </w:t>
      </w:r>
      <w:r>
        <w:rPr>
          <w:rFonts w:eastAsia="微软雅黑"/>
          <w:szCs w:val="20"/>
        </w:rPr>
        <w:t xml:space="preserve">increasing the max </w:t>
      </w:r>
      <w:r>
        <w:rPr>
          <w:rFonts w:hint="eastAsia" w:eastAsia="微软雅黑"/>
          <w:szCs w:val="20"/>
        </w:rPr>
        <w:t>number</w:t>
      </w:r>
      <w:r>
        <w:rPr>
          <w:rFonts w:eastAsia="微软雅黑"/>
          <w:szCs w:val="20"/>
        </w:rPr>
        <w:t xml:space="preserve"> of configured TCI states from 128 to 256 is required </w:t>
      </w:r>
      <w:r>
        <w:rPr>
          <w:rFonts w:hint="eastAsia" w:eastAsia="微软雅黑"/>
          <w:szCs w:val="20"/>
          <w:lang w:val="en-US" w:eastAsia="zh-CN"/>
        </w:rPr>
        <w:t>c</w:t>
      </w:r>
      <w:r>
        <w:rPr>
          <w:rFonts w:eastAsia="微软雅黑"/>
          <w:szCs w:val="20"/>
        </w:rPr>
        <w:t>onsidering the  need to further configure separate DL-only and UL-only TCI states in the RRC pool</w:t>
      </w:r>
      <w:r>
        <w:rPr>
          <w:rFonts w:hint="eastAsia" w:eastAsia="微软雅黑"/>
          <w:szCs w:val="20"/>
          <w:lang w:val="en-US" w:eastAsia="zh-CN"/>
        </w:rPr>
        <w:t xml:space="preserve"> in Rel-17</w:t>
      </w:r>
      <w:r>
        <w:rPr>
          <w:rFonts w:eastAsia="微软雅黑"/>
          <w:szCs w:val="20"/>
        </w:rPr>
        <w:t xml:space="preserve">. </w:t>
      </w:r>
      <w:r>
        <w:rPr>
          <w:rFonts w:hint="eastAsia" w:eastAsia="微软雅黑"/>
          <w:szCs w:val="20"/>
          <w:lang w:val="en-US" w:eastAsia="zh-CN"/>
        </w:rPr>
        <w:t xml:space="preserve">And </w:t>
      </w:r>
      <w:r>
        <w:rPr>
          <w:rFonts w:eastAsia="微软雅黑"/>
          <w:szCs w:val="20"/>
        </w:rPr>
        <w:t xml:space="preserve">we can support up to 8 activated TCI states </w:t>
      </w:r>
      <w:r>
        <w:rPr>
          <w:rFonts w:hint="eastAsia" w:eastAsia="微软雅黑"/>
          <w:szCs w:val="20"/>
          <w:lang w:val="en-US" w:eastAsia="zh-CN"/>
        </w:rPr>
        <w:t xml:space="preserve">in MAC CE </w:t>
      </w:r>
      <w:r>
        <w:rPr>
          <w:rFonts w:eastAsia="微软雅黑"/>
          <w:szCs w:val="20"/>
        </w:rPr>
        <w:t>as in Rel-15/16</w:t>
      </w:r>
      <w:r>
        <w:rPr>
          <w:rFonts w:hint="eastAsia" w:eastAsia="微软雅黑"/>
          <w:szCs w:val="20"/>
        </w:rPr>
        <w:t xml:space="preserve">. </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eastAsia="微软雅黑"/>
          <w:b/>
          <w:i/>
          <w:szCs w:val="20"/>
        </w:rPr>
        <w:t>2</w:t>
      </w:r>
      <w:r>
        <w:rPr>
          <w:rFonts w:eastAsia="微软雅黑"/>
          <w:b/>
          <w:i/>
          <w:szCs w:val="20"/>
          <w:lang w:val="en-GB"/>
        </w:rPr>
        <w:t>:</w:t>
      </w:r>
      <w:r>
        <w:rPr>
          <w:rFonts w:eastAsia="微软雅黑"/>
          <w:iCs/>
          <w:szCs w:val="20"/>
          <w:lang w:val="en-GB"/>
        </w:rPr>
        <w:t xml:space="preserve"> </w:t>
      </w:r>
      <w:r>
        <w:rPr>
          <w:rFonts w:eastAsia="微软雅黑"/>
          <w:i/>
          <w:szCs w:val="20"/>
        </w:rPr>
        <w:t>On Rel</w:t>
      </w:r>
      <w:r>
        <w:rPr>
          <w:rFonts w:hint="eastAsia" w:eastAsia="微软雅黑"/>
          <w:i/>
          <w:szCs w:val="20"/>
        </w:rPr>
        <w:t>-</w:t>
      </w:r>
      <w:r>
        <w:rPr>
          <w:rFonts w:eastAsia="微软雅黑"/>
          <w:i/>
          <w:szCs w:val="20"/>
        </w:rPr>
        <w:t>17 unified TCI framework,</w:t>
      </w:r>
    </w:p>
    <w:p>
      <w:pPr>
        <w:pStyle w:val="99"/>
        <w:numPr>
          <w:ilvl w:val="0"/>
          <w:numId w:val="8"/>
        </w:numPr>
        <w:snapToGrid w:val="0"/>
        <w:spacing w:before="60" w:beforeLines="25" w:after="60" w:afterLines="25" w:line="300" w:lineRule="auto"/>
        <w:ind w:left="400" w:firstLineChars="0"/>
        <w:jc w:val="both"/>
        <w:rPr>
          <w:rFonts w:ascii="Times" w:hAnsi="Times" w:eastAsia="宋体" w:cs="Times"/>
          <w:i/>
          <w:szCs w:val="20"/>
          <w:lang w:val="en-GB"/>
        </w:rPr>
      </w:pPr>
      <w:r>
        <w:rPr>
          <w:rFonts w:eastAsia="微软雅黑"/>
          <w:i/>
          <w:szCs w:val="20"/>
        </w:rPr>
        <w:t xml:space="preserve">The maximum number of </w:t>
      </w:r>
      <w:r>
        <w:rPr>
          <w:rFonts w:ascii="Times" w:hAnsi="Times" w:eastAsia="宋体" w:cs="Times"/>
          <w:i/>
          <w:iCs/>
          <w:szCs w:val="20"/>
        </w:rPr>
        <w:t>configured</w:t>
      </w:r>
      <w:r>
        <w:rPr>
          <w:rFonts w:eastAsia="微软雅黑"/>
          <w:i/>
          <w:szCs w:val="20"/>
        </w:rPr>
        <w:t xml:space="preserve"> TCI states (including joint TCI state, DL-only TCI state and UL-only TCI state) is 256</w:t>
      </w:r>
    </w:p>
    <w:p>
      <w:pPr>
        <w:pStyle w:val="99"/>
        <w:numPr>
          <w:ilvl w:val="0"/>
          <w:numId w:val="8"/>
        </w:numPr>
        <w:snapToGrid w:val="0"/>
        <w:spacing w:before="60" w:beforeLines="25" w:after="60" w:afterLines="25" w:line="300" w:lineRule="auto"/>
        <w:ind w:left="400" w:firstLineChars="0"/>
        <w:jc w:val="both"/>
        <w:rPr>
          <w:rFonts w:ascii="Times" w:hAnsi="Times" w:eastAsia="宋体" w:cs="Times"/>
          <w:i/>
          <w:szCs w:val="20"/>
          <w:lang w:val="en-GB"/>
        </w:rPr>
      </w:pPr>
      <w:r>
        <w:rPr>
          <w:rFonts w:ascii="Times" w:hAnsi="Times" w:eastAsia="宋体" w:cs="Times"/>
          <w:i/>
          <w:szCs w:val="20"/>
          <w:lang w:val="en-GB"/>
        </w:rPr>
        <w:t>The maximum number of activated TCI states (for both cases of  joint TCI as well as separate DL/UL TCI) can be 8</w:t>
      </w:r>
    </w:p>
    <w:p>
      <w:pPr>
        <w:numPr>
          <w:ilvl w:val="2"/>
          <w:numId w:val="7"/>
        </w:numPr>
        <w:tabs>
          <w:tab w:val="left" w:pos="7938"/>
          <w:tab w:val="clear" w:pos="720"/>
        </w:tabs>
        <w:snapToGrid w:val="0"/>
        <w:spacing w:before="240" w:after="120" w:afterLines="50" w:line="240" w:lineRule="auto"/>
        <w:ind w:left="607" w:hanging="607"/>
        <w:jc w:val="both"/>
        <w:outlineLvl w:val="2"/>
        <w:rPr>
          <w:b/>
          <w:bCs/>
          <w:sz w:val="21"/>
          <w:szCs w:val="21"/>
        </w:rPr>
      </w:pPr>
      <w:r>
        <w:rPr>
          <w:rFonts w:hint="eastAsia" w:eastAsia="宋体"/>
          <w:b/>
          <w:bCs/>
          <w:sz w:val="21"/>
          <w:szCs w:val="21"/>
        </w:rPr>
        <w:t>Power control</w:t>
      </w:r>
      <w:r>
        <w:rPr>
          <w:rFonts w:eastAsia="宋体"/>
          <w:b/>
          <w:bCs/>
          <w:sz w:val="21"/>
          <w:szCs w:val="21"/>
        </w:rPr>
        <w:t xml:space="preserve"> for </w:t>
      </w:r>
      <w:r>
        <w:rPr>
          <w:rFonts w:hint="eastAsia" w:eastAsia="宋体"/>
          <w:b/>
          <w:bCs/>
          <w:sz w:val="21"/>
          <w:szCs w:val="21"/>
        </w:rPr>
        <w:t xml:space="preserve">UL </w:t>
      </w:r>
      <w:r>
        <w:rPr>
          <w:rFonts w:eastAsia="宋体"/>
          <w:b/>
          <w:bCs/>
          <w:sz w:val="21"/>
          <w:szCs w:val="21"/>
        </w:rPr>
        <w:t>TCI state</w:t>
      </w:r>
    </w:p>
    <w:p>
      <w:pPr>
        <w:pStyle w:val="99"/>
        <w:snapToGrid w:val="0"/>
        <w:spacing w:before="60" w:beforeLines="25" w:after="60" w:afterLines="25" w:line="300" w:lineRule="auto"/>
        <w:ind w:firstLine="0" w:firstLineChars="0"/>
        <w:jc w:val="both"/>
        <w:rPr>
          <w:rFonts w:eastAsia="微软雅黑"/>
          <w:szCs w:val="20"/>
        </w:rPr>
      </w:pPr>
      <w:r>
        <w:rPr>
          <w:rFonts w:hint="eastAsia" w:eastAsia="微软雅黑"/>
          <w:szCs w:val="20"/>
        </w:rPr>
        <w:t xml:space="preserve">Regarding power control for unified TCI state, there </w:t>
      </w:r>
      <w:r>
        <w:rPr>
          <w:rFonts w:eastAsia="微软雅黑"/>
          <w:szCs w:val="20"/>
        </w:rPr>
        <w:t>were</w:t>
      </w:r>
      <w:r>
        <w:rPr>
          <w:rFonts w:hint="eastAsia" w:eastAsia="微软雅黑"/>
          <w:szCs w:val="20"/>
        </w:rPr>
        <w:t xml:space="preserve"> agreements as follows in RAN1#</w:t>
      </w:r>
      <w:r>
        <w:rPr>
          <w:rFonts w:eastAsia="微软雅黑"/>
          <w:szCs w:val="20"/>
        </w:rPr>
        <w:t>106-</w:t>
      </w:r>
      <w:r>
        <w:rPr>
          <w:rFonts w:hint="eastAsia" w:eastAsia="微软雅黑"/>
          <w:szCs w:val="20"/>
        </w:rPr>
        <w:t>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jc w:val="both"/>
              <w:rPr>
                <w:rFonts w:cs="Times"/>
                <w:b/>
                <w:bCs/>
                <w:szCs w:val="20"/>
                <w:u w:val="single"/>
              </w:rPr>
            </w:pPr>
            <w:r>
              <w:rPr>
                <w:rFonts w:hint="eastAsia" w:cs="Times"/>
                <w:b/>
                <w:bCs/>
                <w:szCs w:val="20"/>
                <w:u w:val="single"/>
              </w:rPr>
              <w:t>Agreement</w:t>
            </w:r>
          </w:p>
          <w:p>
            <w:pPr>
              <w:spacing w:after="0" w:line="240" w:lineRule="auto"/>
              <w:rPr>
                <w:rFonts w:ascii="Times" w:hAnsi="Times" w:eastAsia="Batang"/>
                <w:szCs w:val="20"/>
                <w:lang w:val="en-GB" w:eastAsia="en-US"/>
              </w:rPr>
            </w:pPr>
            <w:r>
              <w:rPr>
                <w:rFonts w:ascii="Times" w:hAnsi="Times" w:eastAsia="Batang"/>
                <w:szCs w:val="20"/>
                <w:lang w:val="en-GB" w:eastAsia="en-US"/>
              </w:rPr>
              <w:t>On path-loss measurement for Rel.17 unified TCI framework, at least for discussion purposes:</w:t>
            </w:r>
          </w:p>
          <w:p>
            <w:pPr>
              <w:numPr>
                <w:ilvl w:val="0"/>
                <w:numId w:val="9"/>
              </w:numPr>
              <w:overflowPunct w:val="0"/>
              <w:autoSpaceDE w:val="0"/>
              <w:autoSpaceDN w:val="0"/>
              <w:adjustRightInd w:val="0"/>
              <w:spacing w:after="180"/>
              <w:contextualSpacing/>
              <w:textAlignment w:val="baseline"/>
              <w:rPr>
                <w:rFonts w:eastAsia="Times New Roman"/>
                <w:szCs w:val="20"/>
                <w:lang w:val="en-GB" w:eastAsia="ja-JP"/>
              </w:rPr>
            </w:pPr>
            <w:r>
              <w:rPr>
                <w:rFonts w:eastAsia="Times New Roman"/>
                <w:szCs w:val="20"/>
                <w:lang w:val="en-GB" w:eastAsia="ja-JP"/>
              </w:rPr>
              <w:t>“Beam alignment” is defined as follows:</w:t>
            </w:r>
            <w:r>
              <w:rPr>
                <w:rFonts w:hint="eastAsia" w:ascii="等线" w:hAnsi="等线" w:eastAsia="等线"/>
                <w:szCs w:val="20"/>
                <w:lang w:val="en-GB" w:eastAsia="ja-JP"/>
              </w:rPr>
              <w:t xml:space="preserve"> </w:t>
            </w:r>
          </w:p>
          <w:p>
            <w:pPr>
              <w:numPr>
                <w:ilvl w:val="1"/>
                <w:numId w:val="9"/>
              </w:numPr>
              <w:overflowPunct w:val="0"/>
              <w:autoSpaceDE w:val="0"/>
              <w:autoSpaceDN w:val="0"/>
              <w:adjustRightInd w:val="0"/>
              <w:spacing w:after="180"/>
              <w:contextualSpacing/>
              <w:textAlignment w:val="baseline"/>
              <w:rPr>
                <w:rFonts w:eastAsia="Times New Roman"/>
                <w:szCs w:val="20"/>
                <w:lang w:val="en-GB" w:eastAsia="ja-JP"/>
              </w:rPr>
            </w:pPr>
            <w:r>
              <w:rPr>
                <w:rFonts w:eastAsia="Times New Roman"/>
                <w:szCs w:val="20"/>
                <w:lang w:val="en-GB" w:eastAsia="ja-JP"/>
              </w:rPr>
              <w:t xml:space="preserve">The event that the PL-RS is identical to the spatial relation RS in the UL or (if applicable) joint TCI state. </w:t>
            </w:r>
          </w:p>
          <w:p>
            <w:pPr>
              <w:numPr>
                <w:ilvl w:val="1"/>
                <w:numId w:val="9"/>
              </w:numPr>
              <w:overflowPunct w:val="0"/>
              <w:autoSpaceDE w:val="0"/>
              <w:autoSpaceDN w:val="0"/>
              <w:adjustRightInd w:val="0"/>
              <w:spacing w:after="180"/>
              <w:contextualSpacing/>
              <w:textAlignment w:val="baseline"/>
              <w:rPr>
                <w:rFonts w:eastAsia="Times New Roman"/>
                <w:szCs w:val="20"/>
                <w:lang w:val="en-GB" w:eastAsia="ja-JP"/>
              </w:rPr>
            </w:pPr>
            <w:r>
              <w:rPr>
                <w:rFonts w:eastAsia="Times New Roman"/>
                <w:szCs w:val="20"/>
                <w:lang w:val="en-GB" w:eastAsia="ja-JP"/>
              </w:rPr>
              <w:t>FFS: how to define “beam alignment” if the PL-RS and the spatial relation RS in the UL or (if applicable) joint TCI state are not identical</w:t>
            </w:r>
          </w:p>
          <w:p>
            <w:pPr>
              <w:numPr>
                <w:ilvl w:val="0"/>
                <w:numId w:val="9"/>
              </w:numPr>
              <w:overflowPunct w:val="0"/>
              <w:autoSpaceDE w:val="0"/>
              <w:autoSpaceDN w:val="0"/>
              <w:adjustRightInd w:val="0"/>
              <w:spacing w:after="180"/>
              <w:contextualSpacing/>
              <w:textAlignment w:val="baseline"/>
              <w:rPr>
                <w:rFonts w:eastAsia="Times New Roman"/>
                <w:szCs w:val="20"/>
                <w:lang w:val="en-GB" w:eastAsia="ja-JP"/>
              </w:rPr>
            </w:pPr>
            <w:r>
              <w:rPr>
                <w:rFonts w:eastAsia="Times New Roman"/>
                <w:szCs w:val="20"/>
                <w:lang w:val="en-GB" w:eastAsia="ja-JP"/>
              </w:rPr>
              <w:t>Any other case, it is defined as beam misalignment</w:t>
            </w:r>
          </w:p>
          <w:p>
            <w:pPr>
              <w:snapToGrid w:val="0"/>
              <w:spacing w:after="0"/>
              <w:jc w:val="both"/>
              <w:rPr>
                <w:rFonts w:cs="Times"/>
                <w:b/>
                <w:bCs/>
                <w:szCs w:val="20"/>
                <w:u w:val="single"/>
              </w:rPr>
            </w:pPr>
            <w:r>
              <w:rPr>
                <w:rFonts w:hint="eastAsia" w:cs="Times"/>
                <w:b/>
                <w:bCs/>
                <w:szCs w:val="20"/>
                <w:u w:val="single"/>
              </w:rPr>
              <w:t>Agreement</w:t>
            </w:r>
          </w:p>
          <w:p>
            <w:pPr>
              <w:snapToGrid w:val="0"/>
              <w:spacing w:after="0" w:line="240" w:lineRule="auto"/>
              <w:jc w:val="both"/>
              <w:rPr>
                <w:rFonts w:eastAsia="Batang"/>
                <w:szCs w:val="20"/>
                <w:lang w:val="en-GB" w:eastAsia="en-US"/>
              </w:rPr>
            </w:pPr>
            <w:r>
              <w:rPr>
                <w:rFonts w:eastAsia="Batang"/>
                <w:szCs w:val="20"/>
                <w:lang w:val="en-GB" w:eastAsia="en-US"/>
              </w:rPr>
              <w:t>On the setting of UL PC parameters except for PL-RS (P0, alpha, closed loop index) for Rel.17 unified TCI framework, the setting of (P0, alpha, closed loop index) for SRS can also be associated with UL or (if applicable) joint TCI state.</w:t>
            </w:r>
          </w:p>
          <w:p>
            <w:pPr>
              <w:numPr>
                <w:ilvl w:val="0"/>
                <w:numId w:val="10"/>
              </w:numPr>
              <w:snapToGrid w:val="0"/>
              <w:spacing w:after="0" w:line="240" w:lineRule="auto"/>
              <w:jc w:val="both"/>
              <w:rPr>
                <w:rFonts w:eastAsia="Batang"/>
                <w:szCs w:val="20"/>
                <w:lang w:val="en-GB" w:eastAsia="en-US"/>
              </w:rPr>
            </w:pPr>
            <w:r>
              <w:rPr>
                <w:rFonts w:eastAsia="Batang"/>
                <w:szCs w:val="20"/>
                <w:lang w:val="en-GB" w:eastAsia="en-US"/>
              </w:rPr>
              <w:t>If not associated, the setting(s) of (P0, alpha, closed loop index) for SRS per BWP is independent of the UL or (if applicable) joint TCI states</w:t>
            </w:r>
          </w:p>
          <w:p>
            <w:pPr>
              <w:numPr>
                <w:ilvl w:val="0"/>
                <w:numId w:val="10"/>
              </w:numPr>
              <w:snapToGrid w:val="0"/>
              <w:spacing w:after="0" w:line="240" w:lineRule="auto"/>
              <w:jc w:val="both"/>
              <w:rPr>
                <w:rFonts w:eastAsia="Batang"/>
                <w:szCs w:val="20"/>
                <w:lang w:val="en-GB" w:eastAsia="en-US"/>
              </w:rPr>
            </w:pPr>
            <w:r>
              <w:rPr>
                <w:rFonts w:eastAsia="Batang"/>
                <w:szCs w:val="20"/>
                <w:lang w:val="en-GB"/>
              </w:rPr>
              <w:t xml:space="preserve">This is only applicable for SRS sets using </w:t>
            </w:r>
            <w:r>
              <w:rPr>
                <w:rFonts w:eastAsia="Batang"/>
                <w:szCs w:val="20"/>
                <w:lang w:val="en-GB" w:eastAsia="en-US"/>
              </w:rPr>
              <w:t>Rel-17 TCI state to determine their spatial relation.</w:t>
            </w:r>
          </w:p>
          <w:p>
            <w:pPr>
              <w:snapToGrid w:val="0"/>
              <w:spacing w:after="0" w:line="240" w:lineRule="auto"/>
              <w:jc w:val="both"/>
              <w:rPr>
                <w:rFonts w:eastAsia="Batang"/>
                <w:szCs w:val="20"/>
                <w:lang w:val="en-GB" w:eastAsia="en-US"/>
              </w:rPr>
            </w:pPr>
            <w:r>
              <w:rPr>
                <w:rFonts w:eastAsia="Batang"/>
                <w:szCs w:val="20"/>
                <w:lang w:val="en-GB" w:eastAsia="en-US"/>
              </w:rPr>
              <w:t>FFS: Whether more than one parameter sets can be configured, e.g. for different traffics</w:t>
            </w:r>
          </w:p>
          <w:p>
            <w:pPr>
              <w:spacing w:after="0" w:line="240" w:lineRule="auto"/>
              <w:rPr>
                <w:rFonts w:ascii="Times" w:hAnsi="Times" w:eastAsia="Batang"/>
                <w:iCs/>
                <w:szCs w:val="20"/>
                <w:lang w:val="en-GB" w:eastAsia="en-US"/>
              </w:rPr>
            </w:pPr>
          </w:p>
          <w:p>
            <w:pPr>
              <w:snapToGrid w:val="0"/>
              <w:spacing w:after="0" w:line="240" w:lineRule="auto"/>
              <w:jc w:val="both"/>
              <w:rPr>
                <w:rFonts w:eastAsia="Malgun Gothic"/>
                <w:bCs/>
                <w:szCs w:val="20"/>
                <w:u w:val="single"/>
                <w:lang w:val="en-GB" w:eastAsia="en-US"/>
              </w:rPr>
            </w:pPr>
            <w:r>
              <w:rPr>
                <w:rFonts w:eastAsia="Malgun Gothic"/>
                <w:bCs/>
                <w:szCs w:val="20"/>
                <w:u w:val="single"/>
                <w:lang w:val="en-GB" w:eastAsia="en-US"/>
              </w:rPr>
              <w:t>Conclusion</w:t>
            </w:r>
          </w:p>
          <w:p>
            <w:pPr>
              <w:snapToGrid w:val="0"/>
              <w:spacing w:after="0" w:line="240" w:lineRule="auto"/>
              <w:jc w:val="both"/>
              <w:rPr>
                <w:rFonts w:eastAsia="Batang"/>
                <w:szCs w:val="20"/>
                <w:lang w:val="en-GB" w:eastAsia="en-US"/>
              </w:rPr>
            </w:pPr>
            <w:r>
              <w:rPr>
                <w:rFonts w:eastAsia="Batang"/>
                <w:szCs w:val="20"/>
                <w:lang w:val="en-GB" w:eastAsia="en-US"/>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pPr>
              <w:numPr>
                <w:ilvl w:val="0"/>
                <w:numId w:val="11"/>
              </w:numPr>
              <w:autoSpaceDN w:val="0"/>
              <w:snapToGrid w:val="0"/>
              <w:spacing w:after="0"/>
              <w:jc w:val="both"/>
            </w:pPr>
            <w:r>
              <w:rPr>
                <w:rFonts w:eastAsia="宋体"/>
                <w:szCs w:val="20"/>
                <w:lang w:val="en-GB" w:eastAsia="ja-JP"/>
              </w:rPr>
              <w:t>Note: It has been agreed that “The setting of (P0, alpha, closed loop index) is at least associated with UL channel or UL RS” and hence the setting of (P0, alpha, closed loop index) is channel/signal dependent (separate settings for PUCCH, PUSCH, and SRS)</w:t>
            </w:r>
          </w:p>
        </w:tc>
      </w:tr>
    </w:tbl>
    <w:p>
      <w:pPr>
        <w:pStyle w:val="99"/>
        <w:snapToGrid w:val="0"/>
        <w:spacing w:before="60" w:beforeLines="25" w:after="60" w:afterLines="25" w:line="300" w:lineRule="auto"/>
        <w:ind w:firstLine="0" w:firstLineChars="0"/>
        <w:jc w:val="both"/>
        <w:rPr>
          <w:rFonts w:eastAsia="微软雅黑"/>
          <w:szCs w:val="20"/>
        </w:rPr>
      </w:pPr>
      <w:r>
        <w:rPr>
          <w:rFonts w:hint="eastAsia" w:eastAsia="微软雅黑"/>
          <w:szCs w:val="20"/>
        </w:rPr>
        <w:t xml:space="preserve">According to </w:t>
      </w:r>
      <w:r>
        <w:rPr>
          <w:rFonts w:eastAsia="微软雅黑"/>
          <w:szCs w:val="20"/>
        </w:rPr>
        <w:t xml:space="preserve">the </w:t>
      </w:r>
      <w:r>
        <w:rPr>
          <w:rFonts w:hint="eastAsia" w:eastAsia="微软雅黑"/>
          <w:szCs w:val="20"/>
        </w:rPr>
        <w:t>above agreement,</w:t>
      </w:r>
      <w:r>
        <w:rPr>
          <w:rFonts w:eastAsia="微软雅黑"/>
          <w:szCs w:val="20"/>
        </w:rPr>
        <w:t xml:space="preserve"> in the case of beam alignment, PL-RS is identical to the spatial relation RS in the UL or (if applicable) joint TCI state. </w:t>
      </w:r>
      <w:r>
        <w:rPr>
          <w:rFonts w:hint="eastAsia" w:eastAsia="微软雅黑"/>
          <w:szCs w:val="20"/>
        </w:rPr>
        <w:t>However</w:t>
      </w:r>
      <w:r>
        <w:rPr>
          <w:rFonts w:eastAsia="微软雅黑"/>
          <w:szCs w:val="20"/>
        </w:rPr>
        <w:t>, some companies proposed to introduce some more cases for ‘beam alignment’ as follows:</w:t>
      </w:r>
    </w:p>
    <w:p>
      <w:pPr>
        <w:numPr>
          <w:ilvl w:val="0"/>
          <w:numId w:val="8"/>
        </w:numPr>
        <w:snapToGrid w:val="0"/>
        <w:spacing w:before="60" w:beforeLines="25" w:after="120" w:afterLines="50" w:line="300" w:lineRule="auto"/>
        <w:ind w:left="400" w:firstLine="0"/>
        <w:jc w:val="both"/>
        <w:rPr>
          <w:rFonts w:eastAsia="微软雅黑"/>
          <w:szCs w:val="20"/>
        </w:rPr>
      </w:pPr>
      <w:r>
        <w:rPr>
          <w:rFonts w:eastAsia="微软雅黑"/>
          <w:szCs w:val="20"/>
        </w:rPr>
        <w:t xml:space="preserve">QCL Type-D RS of PL-RS is identical to the UL TCI spatial relation RS, </w:t>
      </w:r>
    </w:p>
    <w:p>
      <w:pPr>
        <w:numPr>
          <w:ilvl w:val="0"/>
          <w:numId w:val="8"/>
        </w:numPr>
        <w:snapToGrid w:val="0"/>
        <w:spacing w:before="60" w:beforeLines="25" w:after="120" w:afterLines="50" w:line="300" w:lineRule="auto"/>
        <w:ind w:left="400" w:firstLine="0"/>
        <w:jc w:val="both"/>
        <w:rPr>
          <w:rFonts w:eastAsia="微软雅黑"/>
          <w:szCs w:val="20"/>
        </w:rPr>
      </w:pPr>
      <w:r>
        <w:rPr>
          <w:rFonts w:eastAsia="微软雅黑"/>
          <w:szCs w:val="20"/>
        </w:rPr>
        <w:t xml:space="preserve">QCL Type-D RS of PL-RS is identical to the QCL Type-D RS of UL TCI spatial relation RS. </w:t>
      </w:r>
    </w:p>
    <w:p>
      <w:pPr>
        <w:pStyle w:val="99"/>
        <w:snapToGrid w:val="0"/>
        <w:spacing w:before="60" w:beforeLines="25" w:after="60" w:afterLines="25" w:line="300" w:lineRule="auto"/>
        <w:ind w:firstLine="0" w:firstLineChars="0"/>
        <w:jc w:val="both"/>
        <w:rPr>
          <w:rFonts w:eastAsia="微软雅黑"/>
          <w:szCs w:val="20"/>
        </w:rPr>
      </w:pPr>
      <w:r>
        <w:rPr>
          <w:rFonts w:eastAsia="微软雅黑"/>
          <w:szCs w:val="20"/>
        </w:rPr>
        <w:t>In our views, we prefer to simplify the definition of beam alignment. In general, based on QCL definition, the gNB/UE still can use different Tx/Rx beams for PL-RS and target channels/RSs applied by TCI state under the above two cases (like beam refinement). Therefore, we do not identify the necessity of further introducing above two cases into the events of ‘beam alignment’.</w:t>
      </w:r>
    </w:p>
    <w:p>
      <w:pPr>
        <w:pStyle w:val="99"/>
        <w:snapToGrid w:val="0"/>
        <w:spacing w:before="60" w:beforeLines="25" w:after="60" w:afterLines="25" w:line="300" w:lineRule="auto"/>
        <w:ind w:firstLine="0" w:firstLineChars="0"/>
        <w:jc w:val="both"/>
        <w:rPr>
          <w:rFonts w:ascii="Times" w:hAnsi="Times" w:eastAsia="宋体" w:cs="Times"/>
          <w:i/>
          <w:iCs/>
          <w:szCs w:val="20"/>
        </w:rPr>
      </w:pPr>
      <w:r>
        <w:rPr>
          <w:rFonts w:eastAsia="微软雅黑"/>
          <w:b/>
          <w:bCs/>
          <w:i/>
          <w:iCs/>
          <w:szCs w:val="20"/>
        </w:rPr>
        <w:t>Proposal</w:t>
      </w:r>
      <w:r>
        <w:rPr>
          <w:rFonts w:hint="eastAsia" w:eastAsia="微软雅黑"/>
          <w:b/>
          <w:bCs/>
          <w:i/>
          <w:iCs/>
          <w:szCs w:val="20"/>
        </w:rPr>
        <w:t xml:space="preserve"> 3</w:t>
      </w:r>
      <w:r>
        <w:rPr>
          <w:rFonts w:hint="eastAsia" w:eastAsia="微软雅黑"/>
          <w:i/>
          <w:iCs/>
          <w:szCs w:val="20"/>
        </w:rPr>
        <w:t xml:space="preserve">: </w:t>
      </w:r>
      <w:r>
        <w:rPr>
          <w:rFonts w:ascii="Times" w:hAnsi="Times" w:eastAsia="宋体" w:cs="Times"/>
          <w:i/>
          <w:iCs/>
          <w:szCs w:val="20"/>
        </w:rPr>
        <w:t>Regarding UE capability of “beam alignment”, no more additional event is further introduced except that the PL-RS is identical to the spatial relation RS in the UL or (if applicable) joint TCI state.</w:t>
      </w:r>
    </w:p>
    <w:p>
      <w:pPr>
        <w:pStyle w:val="99"/>
        <w:snapToGrid w:val="0"/>
        <w:spacing w:before="60" w:beforeLines="25" w:after="60" w:afterLines="25" w:line="300" w:lineRule="auto"/>
        <w:ind w:firstLine="0" w:firstLineChars="0"/>
        <w:jc w:val="both"/>
        <w:rPr>
          <w:rFonts w:eastAsia="微软雅黑"/>
          <w:szCs w:val="20"/>
        </w:rPr>
      </w:pPr>
      <w:r>
        <w:rPr>
          <w:rFonts w:hint="eastAsia" w:eastAsia="微软雅黑"/>
          <w:szCs w:val="20"/>
        </w:rPr>
        <w:t xml:space="preserve">Regarding remaining issue </w:t>
      </w:r>
      <w:r>
        <w:rPr>
          <w:rFonts w:eastAsia="微软雅黑"/>
          <w:szCs w:val="20"/>
        </w:rPr>
        <w:t>“</w:t>
      </w:r>
      <w:r>
        <w:rPr>
          <w:rFonts w:eastAsia="微软雅黑"/>
          <w:i/>
          <w:iCs/>
          <w:szCs w:val="20"/>
        </w:rPr>
        <w:t>(</w:t>
      </w:r>
      <w:r>
        <w:rPr>
          <w:rFonts w:ascii="Times" w:hAnsi="Times" w:eastAsia="Batang" w:cs="Times"/>
          <w:i/>
          <w:iCs/>
          <w:lang w:val="en-GB" w:eastAsia="en-US"/>
        </w:rPr>
        <w:t>Working Assumption) In this case, for each of the PUSCH and PUCCH, each of the activated UL or (if applicable) joint TCI states is associated with one of the settings</w:t>
      </w:r>
      <w:r>
        <w:rPr>
          <w:rFonts w:ascii="Times" w:hAnsi="Times" w:eastAsia="Batang" w:cs="Times"/>
          <w:lang w:val="en-GB" w:eastAsia="en-US"/>
        </w:rPr>
        <w:t>.</w:t>
      </w:r>
      <w:r>
        <w:rPr>
          <w:rFonts w:eastAsia="微软雅黑"/>
          <w:szCs w:val="20"/>
        </w:rPr>
        <w:t xml:space="preserve">”, we support to confirm the WA. From our perspective, MAC-CE level combination between other PC parameters and TCI state is much more flexible and </w:t>
      </w:r>
      <w:r>
        <w:rPr>
          <w:rFonts w:hint="eastAsia" w:eastAsia="微软雅黑"/>
          <w:szCs w:val="20"/>
        </w:rPr>
        <w:t xml:space="preserve">causes less </w:t>
      </w:r>
      <w:r>
        <w:rPr>
          <w:rFonts w:eastAsia="微软雅黑"/>
          <w:szCs w:val="20"/>
        </w:rPr>
        <w:t>latency than RRC reconfiguration. Specifically, the main motivation of MAC-CE based association is to handle beam-specific closed loop procedure. If the association is totally RRC preconfigured, we only have up to 2 closed loops, and then RRC based beam-specific closed loop procedure may not work well for dynamic beam switching.</w:t>
      </w:r>
    </w:p>
    <w:p>
      <w:pPr>
        <w:snapToGrid w:val="0"/>
        <w:spacing w:before="60" w:beforeLines="25" w:after="120" w:afterLines="50" w:line="300" w:lineRule="auto"/>
        <w:jc w:val="both"/>
        <w:rPr>
          <w:rFonts w:eastAsia="微软雅黑"/>
          <w:i/>
          <w:szCs w:val="20"/>
        </w:rPr>
      </w:pPr>
      <w:r>
        <w:rPr>
          <w:rFonts w:eastAsia="微软雅黑"/>
          <w:b/>
          <w:bCs/>
          <w:i/>
          <w:iCs/>
          <w:szCs w:val="20"/>
        </w:rPr>
        <w:t>Proposal</w:t>
      </w:r>
      <w:r>
        <w:rPr>
          <w:rFonts w:hint="eastAsia" w:eastAsia="微软雅黑"/>
          <w:b/>
          <w:bCs/>
          <w:i/>
          <w:iCs/>
          <w:szCs w:val="20"/>
        </w:rPr>
        <w:t xml:space="preserve"> 4</w:t>
      </w:r>
      <w:r>
        <w:rPr>
          <w:rFonts w:eastAsia="微软雅黑"/>
          <w:i/>
          <w:iCs/>
          <w:szCs w:val="20"/>
        </w:rPr>
        <w:t xml:space="preserve">: </w:t>
      </w:r>
      <w:r>
        <w:rPr>
          <w:rFonts w:eastAsia="微软雅黑"/>
          <w:i/>
          <w:szCs w:val="20"/>
        </w:rPr>
        <w:t>On the setting of UL PC parameters except for PL-RS (P0, alpha, closed loop index) for Rel</w:t>
      </w:r>
      <w:r>
        <w:rPr>
          <w:rFonts w:hint="eastAsia" w:eastAsia="微软雅黑"/>
          <w:i/>
          <w:szCs w:val="20"/>
        </w:rPr>
        <w:t>-</w:t>
      </w:r>
      <w:r>
        <w:rPr>
          <w:rFonts w:eastAsia="微软雅黑"/>
          <w:i/>
          <w:szCs w:val="20"/>
        </w:rPr>
        <w:t>17 unified TCI framework,</w:t>
      </w:r>
    </w:p>
    <w:p>
      <w:pPr>
        <w:pStyle w:val="99"/>
        <w:numPr>
          <w:ilvl w:val="0"/>
          <w:numId w:val="8"/>
        </w:numPr>
        <w:snapToGrid w:val="0"/>
        <w:spacing w:before="60" w:beforeLines="25" w:after="60" w:afterLines="25" w:line="300" w:lineRule="auto"/>
        <w:ind w:left="400" w:firstLineChars="0"/>
        <w:jc w:val="both"/>
        <w:rPr>
          <w:rFonts w:eastAsia="微软雅黑"/>
          <w:i/>
          <w:iCs/>
          <w:szCs w:val="20"/>
        </w:rPr>
      </w:pPr>
      <w:r>
        <w:rPr>
          <w:rFonts w:ascii="Times" w:hAnsi="Times" w:eastAsia="宋体" w:cs="Times"/>
          <w:i/>
          <w:iCs/>
          <w:szCs w:val="20"/>
          <w:lang w:val="en-GB"/>
        </w:rPr>
        <w:t>Confirm</w:t>
      </w:r>
      <w:r>
        <w:rPr>
          <w:rFonts w:eastAsia="微软雅黑"/>
          <w:i/>
          <w:iCs/>
          <w:szCs w:val="20"/>
        </w:rPr>
        <w:t xml:space="preserve"> the following working assumption in RAN1#105-e: </w:t>
      </w:r>
    </w:p>
    <w:p>
      <w:pPr>
        <w:numPr>
          <w:ilvl w:val="1"/>
          <w:numId w:val="8"/>
        </w:numPr>
        <w:snapToGrid w:val="0"/>
        <w:spacing w:before="60" w:beforeLines="25" w:after="120" w:afterLines="50" w:line="300" w:lineRule="auto"/>
        <w:ind w:left="800" w:hanging="360"/>
        <w:jc w:val="both"/>
        <w:rPr>
          <w:rFonts w:ascii="Times" w:hAnsi="Times" w:eastAsia="宋体" w:cs="Times"/>
          <w:i/>
          <w:szCs w:val="20"/>
          <w:lang w:val="en-GB"/>
        </w:rPr>
      </w:pPr>
      <w:r>
        <w:rPr>
          <w:rFonts w:ascii="Times" w:hAnsi="Times" w:eastAsia="宋体" w:cs="Times"/>
          <w:i/>
          <w:iCs/>
        </w:rPr>
        <w:t>“</w:t>
      </w:r>
      <w:r>
        <w:rPr>
          <w:rFonts w:ascii="Times" w:hAnsi="Times" w:eastAsia="Batang" w:cs="Times"/>
          <w:i/>
          <w:iCs/>
          <w:lang w:val="en-GB" w:eastAsia="en-US"/>
        </w:rPr>
        <w:t>(Working Assumption) In this case, for each of the PUSCH and PUCCH, each of the activated UL or (if applicable) joint TCI states is associated with one of the settings.</w:t>
      </w:r>
      <w:r>
        <w:rPr>
          <w:rFonts w:ascii="Times" w:hAnsi="Times" w:eastAsia="宋体" w:cs="Times"/>
          <w:i/>
          <w:iCs/>
        </w:rPr>
        <w:t>”</w:t>
      </w:r>
    </w:p>
    <w:p>
      <w:pPr>
        <w:pStyle w:val="99"/>
        <w:numPr>
          <w:ilvl w:val="0"/>
          <w:numId w:val="8"/>
        </w:numPr>
        <w:snapToGrid w:val="0"/>
        <w:spacing w:before="60" w:beforeLines="25" w:after="60" w:afterLines="25" w:line="300" w:lineRule="auto"/>
        <w:ind w:left="400" w:firstLineChars="0"/>
        <w:jc w:val="both"/>
        <w:rPr>
          <w:rFonts w:eastAsia="微软雅黑"/>
          <w:i/>
          <w:iCs/>
          <w:szCs w:val="20"/>
        </w:rPr>
      </w:pPr>
      <w:r>
        <w:rPr>
          <w:rFonts w:eastAsia="微软雅黑"/>
          <w:i/>
          <w:szCs w:val="20"/>
        </w:rPr>
        <w:t xml:space="preserve">Above </w:t>
      </w:r>
      <w:r>
        <w:rPr>
          <w:rFonts w:eastAsia="微软雅黑"/>
          <w:i/>
          <w:iCs/>
          <w:szCs w:val="20"/>
        </w:rPr>
        <w:t>implies</w:t>
      </w:r>
      <w:r>
        <w:rPr>
          <w:rFonts w:eastAsia="微软雅黑"/>
          <w:i/>
          <w:szCs w:val="20"/>
        </w:rPr>
        <w:t xml:space="preserve"> that the association between a TCI state and one of the multiple settings, for each of the PUSCH, PUCCH, and/or SRS, is signaled via MAC-CE together with the MAC-CE-based TCI state activation</w:t>
      </w:r>
      <w:r>
        <w:rPr>
          <w:rFonts w:eastAsia="微软雅黑"/>
          <w:i/>
          <w:iCs/>
          <w:szCs w:val="20"/>
        </w:rPr>
        <w:t>.</w:t>
      </w:r>
    </w:p>
    <w:p>
      <w:pPr>
        <w:numPr>
          <w:ilvl w:val="1"/>
          <w:numId w:val="8"/>
        </w:numPr>
        <w:snapToGrid w:val="0"/>
        <w:spacing w:before="120" w:after="120" w:afterLines="50" w:line="300" w:lineRule="auto"/>
        <w:ind w:left="800"/>
        <w:jc w:val="both"/>
        <w:rPr>
          <w:rFonts w:eastAsia="微软雅黑"/>
          <w:i/>
          <w:iCs/>
          <w:szCs w:val="20"/>
        </w:rPr>
      </w:pPr>
      <w:r>
        <w:rPr>
          <w:rFonts w:eastAsia="微软雅黑"/>
          <w:i/>
          <w:szCs w:val="20"/>
        </w:rPr>
        <w:t xml:space="preserve">Note: the multiple settings of (P0, alpha, closed loop index) for PUSCH, PUCCH, and/or SRS are RRC </w:t>
      </w:r>
      <w:r>
        <w:rPr>
          <w:rFonts w:eastAsia="微软雅黑"/>
          <w:i/>
          <w:iCs/>
          <w:szCs w:val="20"/>
        </w:rPr>
        <w:t>configured</w:t>
      </w:r>
      <w:r>
        <w:rPr>
          <w:rFonts w:eastAsia="微软雅黑"/>
          <w:i/>
          <w:szCs w:val="20"/>
        </w:rPr>
        <w:t xml:space="preserve"> per BWP</w:t>
      </w:r>
    </w:p>
    <w:p>
      <w:pPr>
        <w:widowControl w:val="0"/>
        <w:numPr>
          <w:ilvl w:val="2"/>
          <w:numId w:val="7"/>
        </w:numPr>
        <w:tabs>
          <w:tab w:val="left" w:pos="7938"/>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Common beam update</w:t>
      </w:r>
      <w:r>
        <w:rPr>
          <w:rFonts w:eastAsia="宋体"/>
          <w:b/>
          <w:bCs/>
          <w:sz w:val="21"/>
          <w:szCs w:val="21"/>
        </w:rPr>
        <w:t xml:space="preserve"> cross carriers</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In RAN1#</w:t>
      </w:r>
      <w:r>
        <w:rPr>
          <w:rFonts w:eastAsia="微软雅黑"/>
          <w:szCs w:val="20"/>
        </w:rPr>
        <w:t>106-</w:t>
      </w:r>
      <w:r>
        <w:rPr>
          <w:rFonts w:hint="eastAsia" w:eastAsia="微软雅黑"/>
          <w:szCs w:val="20"/>
        </w:rPr>
        <w:t>e</w:t>
      </w:r>
      <w:r>
        <w:rPr>
          <w:rFonts w:eastAsia="微软雅黑"/>
          <w:szCs w:val="20"/>
        </w:rPr>
        <w:t xml:space="preserve"> </w:t>
      </w:r>
      <w:r>
        <w:rPr>
          <w:rFonts w:hint="eastAsia" w:eastAsia="微软雅黑"/>
          <w:szCs w:val="20"/>
        </w:rPr>
        <w:t xml:space="preserve">meeting, </w:t>
      </w:r>
      <w:r>
        <w:rPr>
          <w:rFonts w:eastAsia="微软雅黑"/>
          <w:szCs w:val="20"/>
        </w:rPr>
        <w:t xml:space="preserve">a general framework for </w:t>
      </w:r>
      <w:r>
        <w:rPr>
          <w:rFonts w:hint="eastAsia" w:eastAsia="微软雅黑"/>
          <w:szCs w:val="20"/>
        </w:rPr>
        <w:t>common DL/UL beam indication cross carriers (CCs) under the unified TCI framework was</w:t>
      </w:r>
      <w:r>
        <w:rPr>
          <w:rFonts w:eastAsia="微软雅黑"/>
          <w:szCs w:val="20"/>
        </w:rPr>
        <w:t xml:space="preserve"> </w:t>
      </w:r>
      <w:r>
        <w:rPr>
          <w:rFonts w:hint="eastAsia" w:eastAsia="微软雅黑"/>
          <w:szCs w:val="20"/>
        </w:rPr>
        <w:t>agreed</w:t>
      </w:r>
      <w:r>
        <w:rPr>
          <w:rFonts w:eastAsia="微软雅黑"/>
          <w:szCs w:val="20"/>
        </w:rPr>
        <w:t xml:space="preserve"> as follows. In this subsection, we further discuss the remaining issues.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hint="eastAsia" w:cs="Times"/>
                <w:b/>
                <w:bCs/>
                <w:szCs w:val="20"/>
                <w:u w:val="single"/>
              </w:rPr>
              <w:t>Agreement</w:t>
            </w:r>
          </w:p>
          <w:p>
            <w:pPr>
              <w:snapToGrid w:val="0"/>
              <w:spacing w:after="0" w:line="240" w:lineRule="auto"/>
              <w:jc w:val="both"/>
              <w:rPr>
                <w:rFonts w:ascii="Times" w:hAnsi="Times" w:eastAsia="Times New Roman"/>
                <w:szCs w:val="20"/>
                <w:lang w:val="en-GB" w:eastAsia="en-US"/>
              </w:rPr>
            </w:pPr>
            <w:r>
              <w:rPr>
                <w:rFonts w:ascii="Times" w:hAnsi="Times" w:eastAsia="Times New Roman"/>
                <w:szCs w:val="20"/>
                <w:lang w:val="en-GB" w:eastAsia="en-US"/>
              </w:rPr>
              <w:t>On Rel.17 unified TCI framework,</w:t>
            </w:r>
            <w:r>
              <w:rPr>
                <w:rFonts w:ascii="Times" w:hAnsi="Times" w:eastAsia="Batang"/>
                <w:szCs w:val="20"/>
                <w:lang w:val="en-GB" w:eastAsia="ja-JP"/>
              </w:rPr>
              <w:t xml:space="preserve"> confirm the following working assumption as an agreement with a minor refinement highlighted in </w:t>
            </w:r>
            <w:r>
              <w:rPr>
                <w:rFonts w:ascii="Times" w:hAnsi="Times" w:eastAsia="Batang"/>
                <w:color w:val="FF0000"/>
                <w:szCs w:val="20"/>
                <w:lang w:val="en-GB" w:eastAsia="ja-JP"/>
              </w:rPr>
              <w:t>red</w:t>
            </w:r>
            <w:r>
              <w:rPr>
                <w:rFonts w:ascii="Times" w:hAnsi="Times" w:eastAsia="Batang"/>
                <w:szCs w:val="20"/>
                <w:lang w:val="en-GB" w:eastAsia="ja-JP"/>
              </w:rPr>
              <w:t xml:space="preserve"> </w:t>
            </w:r>
          </w:p>
          <w:p>
            <w:pPr>
              <w:snapToGrid w:val="0"/>
              <w:spacing w:after="0" w:line="240" w:lineRule="auto"/>
              <w:rPr>
                <w:rFonts w:ascii="Times" w:hAnsi="Times" w:eastAsia="Batang"/>
                <w:szCs w:val="20"/>
                <w:lang w:val="en-GB" w:eastAsia="ja-JP"/>
              </w:rPr>
            </w:pPr>
            <w:r>
              <w:rPr>
                <w:rFonts w:ascii="Times" w:hAnsi="Times" w:eastAsia="Malgun Gothic"/>
                <w:szCs w:val="24"/>
                <w:lang w:val="en-GB" w:eastAsia="en-US"/>
              </w:rPr>
              <w:t xml:space="preserve">For common TCI state ID update and activation to provide common QCL information </w:t>
            </w:r>
            <w:r>
              <w:rPr>
                <w:rFonts w:ascii="Times" w:hAnsi="Times" w:eastAsia="Malgun Gothic"/>
                <w:szCs w:val="24"/>
                <w:lang w:val="en-GB" w:eastAsia="ja-JP"/>
              </w:rPr>
              <w:t xml:space="preserve">at least for UE-dedicated PDCCH/PDSCH </w:t>
            </w:r>
            <w:r>
              <w:rPr>
                <w:rFonts w:ascii="Times" w:hAnsi="Times" w:eastAsia="Malgun Gothic"/>
                <w:szCs w:val="24"/>
                <w:lang w:val="en-GB" w:eastAsia="en-US"/>
              </w:rPr>
              <w:t xml:space="preserve">and/or common UL TX spatial filter(s) </w:t>
            </w:r>
            <w:r>
              <w:rPr>
                <w:rFonts w:ascii="Times" w:hAnsi="Times" w:eastAsia="Malgun Gothic"/>
                <w:szCs w:val="24"/>
                <w:lang w:val="en-GB" w:eastAsia="ja-JP"/>
              </w:rPr>
              <w:t xml:space="preserve">at least for UE-dedicated PUSCH/PUCCH </w:t>
            </w:r>
            <w:r>
              <w:rPr>
                <w:rFonts w:ascii="Times" w:hAnsi="Times" w:eastAsia="Malgun Gothic"/>
                <w:szCs w:val="24"/>
                <w:lang w:val="en-GB" w:eastAsia="en-US"/>
              </w:rPr>
              <w:t xml:space="preserve">across a set of [configured] CCs/BWPs: </w:t>
            </w:r>
          </w:p>
          <w:p>
            <w:pPr>
              <w:numPr>
                <w:ilvl w:val="0"/>
                <w:numId w:val="12"/>
              </w:numPr>
              <w:snapToGrid w:val="0"/>
              <w:spacing w:after="0" w:line="240" w:lineRule="auto"/>
              <w:jc w:val="both"/>
              <w:rPr>
                <w:rFonts w:ascii="Times" w:hAnsi="Times" w:eastAsia="Malgun Gothic"/>
                <w:szCs w:val="24"/>
                <w:lang w:val="en-GB" w:eastAsia="en-US"/>
              </w:rPr>
            </w:pPr>
            <w:r>
              <w:rPr>
                <w:rFonts w:ascii="Times" w:hAnsi="Times" w:eastAsia="Malgun Gothic"/>
                <w:szCs w:val="24"/>
                <w:lang w:val="en-GB" w:eastAsia="en-US"/>
              </w:rPr>
              <w:t>RRC-configured TCI state pool(s) can be configured in the PDSCH configuration (</w:t>
            </w:r>
            <w:r>
              <w:rPr>
                <w:rFonts w:ascii="Times" w:hAnsi="Times" w:eastAsia="Malgun Gothic"/>
                <w:i/>
                <w:iCs/>
                <w:szCs w:val="24"/>
                <w:lang w:val="en-GB" w:eastAsia="en-US"/>
              </w:rPr>
              <w:t>PDSCH-Config</w:t>
            </w:r>
            <w:r>
              <w:rPr>
                <w:rFonts w:ascii="Times" w:hAnsi="Times" w:eastAsia="Malgun Gothic"/>
                <w:szCs w:val="24"/>
                <w:lang w:val="en-GB" w:eastAsia="en-US"/>
              </w:rPr>
              <w:t>) for each BWP/CC as in Rel-15/16</w:t>
            </w:r>
          </w:p>
          <w:p>
            <w:pPr>
              <w:numPr>
                <w:ilvl w:val="1"/>
                <w:numId w:val="12"/>
              </w:numPr>
              <w:snapToGrid w:val="0"/>
              <w:spacing w:after="0" w:line="240" w:lineRule="auto"/>
              <w:jc w:val="both"/>
              <w:rPr>
                <w:rFonts w:ascii="Times" w:hAnsi="Times" w:eastAsia="Malgun Gothic"/>
                <w:szCs w:val="24"/>
                <w:lang w:val="en-GB" w:eastAsia="en-US"/>
              </w:rPr>
            </w:pPr>
            <w:r>
              <w:rPr>
                <w:rFonts w:ascii="Times" w:hAnsi="Times" w:eastAsia="Batang"/>
                <w:szCs w:val="24"/>
                <w:lang w:val="en-GB"/>
              </w:rPr>
              <w:t xml:space="preserve">Note: Such </w:t>
            </w:r>
            <w:r>
              <w:rPr>
                <w:rFonts w:ascii="Times" w:hAnsi="Times" w:eastAsia="Malgun Gothic"/>
                <w:szCs w:val="24"/>
                <w:lang w:val="en-GB" w:eastAsia="en-US"/>
              </w:rPr>
              <w:t>RRC-configured</w:t>
            </w:r>
            <w:r>
              <w:rPr>
                <w:rFonts w:ascii="Times" w:hAnsi="Times" w:eastAsia="Batang"/>
                <w:szCs w:val="24"/>
                <w:lang w:val="en-GB"/>
              </w:rPr>
              <w:t xml:space="preserve"> TCI state pool(s) configuration doesn’t imply that separate DL/UL TCI state pool is excluded or supported</w:t>
            </w:r>
          </w:p>
          <w:p>
            <w:pPr>
              <w:numPr>
                <w:ilvl w:val="0"/>
                <w:numId w:val="12"/>
              </w:numPr>
              <w:snapToGrid w:val="0"/>
              <w:spacing w:after="0" w:line="240" w:lineRule="auto"/>
              <w:jc w:val="both"/>
              <w:rPr>
                <w:rFonts w:ascii="Times" w:hAnsi="Times" w:eastAsia="Malgun Gothic"/>
                <w:szCs w:val="24"/>
                <w:lang w:val="en-GB" w:eastAsia="en-US"/>
              </w:rPr>
            </w:pPr>
            <w:r>
              <w:rPr>
                <w:rFonts w:ascii="Times" w:hAnsi="Times" w:eastAsia="Malgun Gothic"/>
                <w:szCs w:val="24"/>
                <w:lang w:val="en-GB" w:eastAsia="en-US"/>
              </w:rPr>
              <w:t>RRC-configured TCI state pool(s) can be absent in the PDSCH configuration (</w:t>
            </w:r>
            <w:r>
              <w:rPr>
                <w:rFonts w:ascii="Times" w:hAnsi="Times" w:eastAsia="Malgun Gothic"/>
                <w:i/>
                <w:iCs/>
                <w:szCs w:val="24"/>
                <w:lang w:val="en-GB" w:eastAsia="en-US"/>
              </w:rPr>
              <w:t>PDSCH-Config</w:t>
            </w:r>
            <w:r>
              <w:rPr>
                <w:rFonts w:ascii="Times" w:hAnsi="Times" w:eastAsia="Malgun Gothic"/>
                <w:szCs w:val="24"/>
                <w:lang w:val="en-GB" w:eastAsia="en-US"/>
              </w:rPr>
              <w:t>) for each BWP/CC, and replaced with a reference to RRC-configured TCI state pool(s) in a reference BWP/CC</w:t>
            </w:r>
          </w:p>
          <w:p>
            <w:pPr>
              <w:numPr>
                <w:ilvl w:val="1"/>
                <w:numId w:val="12"/>
              </w:numPr>
              <w:snapToGrid w:val="0"/>
              <w:spacing w:after="0" w:line="240" w:lineRule="auto"/>
              <w:jc w:val="both"/>
              <w:rPr>
                <w:rFonts w:ascii="Times" w:hAnsi="Times" w:eastAsia="Malgun Gothic"/>
                <w:szCs w:val="24"/>
                <w:lang w:val="en-GB" w:eastAsia="en-US"/>
              </w:rPr>
            </w:pPr>
            <w:r>
              <w:rPr>
                <w:rFonts w:ascii="Times" w:hAnsi="Times" w:eastAsia="Malgun Gothic"/>
                <w:szCs w:val="24"/>
                <w:lang w:val="en-GB" w:eastAsia="en-US"/>
              </w:rPr>
              <w:t>In the PDSCH configuration (</w:t>
            </w:r>
            <w:r>
              <w:rPr>
                <w:rFonts w:ascii="Times" w:hAnsi="Times" w:eastAsia="Malgun Gothic"/>
                <w:i/>
                <w:iCs/>
                <w:szCs w:val="24"/>
                <w:lang w:val="en-GB" w:eastAsia="en-US"/>
              </w:rPr>
              <w:t>PDSCH-Config</w:t>
            </w:r>
            <w:r>
              <w:rPr>
                <w:rFonts w:ascii="Times" w:hAnsi="Times" w:eastAsia="Malgun Gothic"/>
                <w:szCs w:val="24"/>
                <w:lang w:val="en-GB" w:eastAsia="en-US"/>
              </w:rPr>
              <w:t>) of the reference BWP/CC, RRC-configured TCI state pool(s) shall be configured</w:t>
            </w:r>
          </w:p>
          <w:p>
            <w:pPr>
              <w:numPr>
                <w:ilvl w:val="1"/>
                <w:numId w:val="12"/>
              </w:numPr>
              <w:snapToGrid w:val="0"/>
              <w:spacing w:after="0" w:line="240" w:lineRule="auto"/>
              <w:jc w:val="both"/>
              <w:rPr>
                <w:rFonts w:ascii="Times" w:hAnsi="Times" w:eastAsia="Malgun Gothic"/>
                <w:szCs w:val="24"/>
                <w:lang w:val="en-GB" w:eastAsia="en-US"/>
              </w:rPr>
            </w:pPr>
            <w:r>
              <w:rPr>
                <w:rFonts w:ascii="Times" w:hAnsi="Times" w:eastAsia="Malgun Gothic"/>
                <w:szCs w:val="24"/>
                <w:lang w:val="en-GB" w:eastAsia="en-US"/>
              </w:rPr>
              <w:t>For a BWP/CC where the PDSCH configuration contains a reference to the RRC-configured TCI state pool(s) in a reference BWP/CC, the UE applies the RRC-configured TCI state pool(s) in the reference BWP/CC</w:t>
            </w:r>
          </w:p>
          <w:p>
            <w:pPr>
              <w:numPr>
                <w:ilvl w:val="0"/>
                <w:numId w:val="12"/>
              </w:numPr>
              <w:snapToGrid w:val="0"/>
              <w:spacing w:after="0" w:line="240" w:lineRule="auto"/>
              <w:jc w:val="both"/>
              <w:rPr>
                <w:rFonts w:ascii="Times" w:hAnsi="Times" w:eastAsia="Malgun Gothic"/>
                <w:szCs w:val="24"/>
                <w:lang w:val="en-GB" w:eastAsia="en-US"/>
              </w:rPr>
            </w:pPr>
            <w:r>
              <w:rPr>
                <w:rFonts w:ascii="Times" w:hAnsi="Times" w:eastAsia="Batang"/>
                <w:szCs w:val="24"/>
                <w:lang w:val="en-GB" w:eastAsia="en-US"/>
              </w:rPr>
              <w:t>When the BWP/CC ID (</w:t>
            </w:r>
            <w:r>
              <w:rPr>
                <w:rFonts w:ascii="Times" w:hAnsi="Times" w:eastAsia="Batang"/>
                <w:color w:val="FF0000"/>
                <w:szCs w:val="24"/>
                <w:lang w:val="en-GB" w:eastAsia="en-US"/>
              </w:rPr>
              <w:t xml:space="preserve">i.e. </w:t>
            </w:r>
            <w:r>
              <w:rPr>
                <w:rFonts w:ascii="Times" w:hAnsi="Times" w:eastAsia="Batang"/>
                <w:i/>
                <w:color w:val="FF0000"/>
                <w:szCs w:val="24"/>
                <w:lang w:val="en-GB" w:eastAsia="en-US"/>
              </w:rPr>
              <w:t>bwp-Id</w:t>
            </w:r>
            <w:r>
              <w:rPr>
                <w:rFonts w:ascii="Times" w:hAnsi="Times" w:eastAsia="Batang"/>
                <w:color w:val="FF0000"/>
                <w:szCs w:val="24"/>
                <w:lang w:val="en-GB" w:eastAsia="en-US"/>
              </w:rPr>
              <w:t xml:space="preserve"> or </w:t>
            </w:r>
            <w:r>
              <w:rPr>
                <w:rFonts w:ascii="Times" w:hAnsi="Times" w:eastAsia="Batang"/>
                <w:i/>
                <w:iCs/>
                <w:szCs w:val="24"/>
                <w:lang w:val="en-GB" w:eastAsia="en-US"/>
              </w:rPr>
              <w:t>cell</w:t>
            </w:r>
            <w:r>
              <w:rPr>
                <w:rFonts w:ascii="Times" w:hAnsi="Times" w:eastAsia="Batang"/>
                <w:szCs w:val="24"/>
                <w:lang w:val="en-GB" w:eastAsia="en-US"/>
              </w:rPr>
              <w:t>) for QCL-Type A/D source RS in a </w:t>
            </w:r>
            <w:r>
              <w:rPr>
                <w:rFonts w:ascii="Times" w:hAnsi="Times" w:eastAsia="Batang"/>
                <w:i/>
                <w:iCs/>
                <w:szCs w:val="24"/>
                <w:lang w:val="en-GB" w:eastAsia="en-US"/>
              </w:rPr>
              <w:t>QCL-Info</w:t>
            </w:r>
            <w:r>
              <w:rPr>
                <w:rFonts w:ascii="Times" w:hAnsi="Times" w:eastAsia="Batang"/>
                <w:szCs w:val="24"/>
                <w:lang w:val="en-GB" w:eastAsia="en-US"/>
              </w:rPr>
              <w:t> of the TCI state is absent, the UE assumes that QCL-Type A/D source RS is in the BWP/CC to which the TCI state applies</w:t>
            </w:r>
          </w:p>
          <w:p>
            <w:pPr>
              <w:numPr>
                <w:ilvl w:val="0"/>
                <w:numId w:val="12"/>
              </w:numPr>
              <w:snapToGrid w:val="0"/>
              <w:spacing w:after="0" w:line="240" w:lineRule="auto"/>
              <w:jc w:val="both"/>
              <w:rPr>
                <w:rFonts w:ascii="Times" w:hAnsi="Times" w:eastAsia="Malgun Gothic"/>
                <w:szCs w:val="24"/>
                <w:lang w:val="en-GB" w:eastAsia="en-US"/>
              </w:rPr>
            </w:pPr>
            <w:r>
              <w:rPr>
                <w:rFonts w:ascii="Times" w:hAnsi="Times" w:eastAsia="Malgun Gothic"/>
                <w:szCs w:val="24"/>
                <w:lang w:val="en-GB" w:eastAsia="en-US"/>
              </w:rPr>
              <w:t>Introduce a UE capability to report maximum number of TCI state pools it can support across BWPs and CCs in a band, and the candidate value at least includes 1</w:t>
            </w:r>
          </w:p>
          <w:p>
            <w:pPr>
              <w:numPr>
                <w:ilvl w:val="0"/>
                <w:numId w:val="12"/>
              </w:numPr>
              <w:snapToGrid w:val="0"/>
              <w:spacing w:after="0" w:line="240" w:lineRule="auto"/>
              <w:jc w:val="both"/>
              <w:rPr>
                <w:rFonts w:ascii="Times" w:hAnsi="Times" w:eastAsia="Malgun Gothic"/>
                <w:szCs w:val="20"/>
                <w:lang w:val="en-GB" w:eastAsia="en-US"/>
              </w:rPr>
            </w:pPr>
            <w:r>
              <w:rPr>
                <w:rFonts w:ascii="Times" w:hAnsi="Times" w:eastAsia="Malgun Gothic"/>
                <w:szCs w:val="24"/>
                <w:lang w:val="en-GB" w:eastAsia="en-US"/>
              </w:rPr>
              <w:t xml:space="preserve">FFS: Introduce a UE capability to report maximum number of configured TCI states that it can support across BWPs </w:t>
            </w:r>
            <w:r>
              <w:rPr>
                <w:rFonts w:ascii="Times" w:hAnsi="Times" w:eastAsia="Malgun Gothic"/>
                <w:szCs w:val="20"/>
                <w:lang w:val="en-GB" w:eastAsia="en-US"/>
              </w:rPr>
              <w:t>and CCs in a band</w:t>
            </w:r>
          </w:p>
          <w:p>
            <w:pPr>
              <w:numPr>
                <w:ilvl w:val="0"/>
                <w:numId w:val="12"/>
              </w:numPr>
              <w:snapToGrid w:val="0"/>
              <w:spacing w:after="0" w:line="240" w:lineRule="auto"/>
              <w:jc w:val="both"/>
              <w:rPr>
                <w:rFonts w:eastAsia="微软雅黑"/>
                <w:szCs w:val="20"/>
              </w:rPr>
            </w:pPr>
            <w:r>
              <w:rPr>
                <w:rFonts w:ascii="Times" w:hAnsi="Times" w:eastAsia="Malgun Gothic"/>
                <w:szCs w:val="20"/>
                <w:lang w:val="en-GB" w:eastAsia="en-US"/>
              </w:rPr>
              <w:t>FFS: How to define reference BWP/CC</w:t>
            </w:r>
          </w:p>
        </w:tc>
      </w:tr>
    </w:tbl>
    <w:p>
      <w:pPr>
        <w:pStyle w:val="99"/>
        <w:snapToGrid w:val="0"/>
        <w:spacing w:before="60" w:beforeLines="25" w:after="60" w:afterLines="25" w:line="300" w:lineRule="auto"/>
        <w:ind w:firstLine="0" w:firstLineChars="0"/>
        <w:jc w:val="both"/>
        <w:rPr>
          <w:rFonts w:eastAsia="宋体"/>
          <w:iCs/>
        </w:rPr>
      </w:pPr>
      <w:r>
        <w:rPr>
          <w:rFonts w:eastAsia="宋体"/>
          <w:iCs/>
        </w:rPr>
        <w:t xml:space="preserve">Consequently, the </w:t>
      </w:r>
      <w:r>
        <w:rPr>
          <w:rFonts w:hint="eastAsia" w:eastAsia="宋体"/>
          <w:iCs/>
        </w:rPr>
        <w:t>CC group</w:t>
      </w:r>
      <w:r>
        <w:rPr>
          <w:rFonts w:eastAsia="宋体"/>
          <w:iCs/>
        </w:rPr>
        <w:t xml:space="preserve"> determination for common beam update cross carriers can be divided into three </w:t>
      </w:r>
      <w:r>
        <w:rPr>
          <w:rFonts w:hint="eastAsia" w:eastAsia="宋体"/>
          <w:iCs/>
        </w:rPr>
        <w:t>aspects</w:t>
      </w:r>
      <w:r>
        <w:rPr>
          <w:rFonts w:eastAsia="宋体"/>
          <w:iCs/>
        </w:rPr>
        <w:t xml:space="preserve"> that corresponds to the </w:t>
      </w:r>
      <w:r>
        <w:rPr>
          <w:rFonts w:hint="eastAsia" w:eastAsia="宋体"/>
          <w:iCs/>
        </w:rPr>
        <w:t>RRC level</w:t>
      </w:r>
      <w:r>
        <w:rPr>
          <w:rFonts w:eastAsia="宋体"/>
          <w:iCs/>
        </w:rPr>
        <w:t xml:space="preserve">, </w:t>
      </w:r>
      <w:r>
        <w:rPr>
          <w:rFonts w:hint="eastAsia" w:eastAsia="宋体"/>
          <w:iCs/>
        </w:rPr>
        <w:t>MAC level</w:t>
      </w:r>
      <w:r>
        <w:rPr>
          <w:rFonts w:eastAsia="宋体"/>
          <w:iCs/>
        </w:rPr>
        <w:t xml:space="preserve"> and L1 level CC groups</w:t>
      </w:r>
      <w:r>
        <w:rPr>
          <w:rFonts w:hint="eastAsia" w:eastAsia="宋体"/>
          <w:iCs/>
        </w:rPr>
        <w:t xml:space="preserve">. </w:t>
      </w:r>
    </w:p>
    <w:p>
      <w:pPr>
        <w:pStyle w:val="99"/>
        <w:numPr>
          <w:ilvl w:val="0"/>
          <w:numId w:val="8"/>
        </w:numPr>
        <w:snapToGrid w:val="0"/>
        <w:spacing w:before="60" w:beforeLines="25" w:after="60" w:afterLines="25" w:line="300" w:lineRule="auto"/>
        <w:ind w:left="400" w:firstLineChars="0"/>
        <w:jc w:val="both"/>
        <w:rPr>
          <w:rFonts w:eastAsia="宋体"/>
          <w:iCs/>
        </w:rPr>
      </w:pPr>
      <w:r>
        <w:rPr>
          <w:rFonts w:hint="eastAsia" w:eastAsia="宋体"/>
          <w:iCs/>
        </w:rPr>
        <w:t xml:space="preserve">In RRC level, TCI state pool can be absent in PDSCH configuration, e.g. PDSCH-Config, for a BWP/CC, and  a reference BWP/CC indication can be configured for obtaining a TCI state pool configured in the reference BWP/CC. In this case, TCI state pool can be configured per CC group, noted as a RRC-level CC group. </w:t>
      </w:r>
    </w:p>
    <w:p>
      <w:pPr>
        <w:pStyle w:val="99"/>
        <w:numPr>
          <w:ilvl w:val="0"/>
          <w:numId w:val="8"/>
        </w:numPr>
        <w:snapToGrid w:val="0"/>
        <w:spacing w:before="60" w:beforeLines="25" w:after="60" w:afterLines="25" w:line="300" w:lineRule="auto"/>
        <w:ind w:left="400" w:firstLineChars="0"/>
        <w:jc w:val="both"/>
        <w:rPr>
          <w:rFonts w:eastAsia="宋体"/>
          <w:iCs/>
        </w:rPr>
      </w:pPr>
      <w:r>
        <w:rPr>
          <w:rFonts w:hint="eastAsia" w:eastAsia="宋体"/>
          <w:iCs/>
        </w:rPr>
        <w:t xml:space="preserve">In MAC level, TCI state(s) in a MAC CE is activated for a group of CCs, and the CC group is configured in RRC as in Rel-16. In this case TCI state is activated per another kind of CC group, noted as a MAC-level CC group. </w:t>
      </w:r>
    </w:p>
    <w:p>
      <w:pPr>
        <w:pStyle w:val="99"/>
        <w:numPr>
          <w:ilvl w:val="0"/>
          <w:numId w:val="8"/>
        </w:numPr>
        <w:snapToGrid w:val="0"/>
        <w:spacing w:before="60" w:beforeLines="25" w:after="60" w:afterLines="25" w:line="300" w:lineRule="auto"/>
        <w:ind w:left="400" w:firstLineChars="0"/>
        <w:jc w:val="both"/>
        <w:rPr>
          <w:rFonts w:eastAsia="宋体"/>
          <w:iCs/>
        </w:rPr>
      </w:pPr>
      <w:r>
        <w:rPr>
          <w:rFonts w:hint="eastAsia" w:eastAsia="宋体"/>
          <w:iCs/>
        </w:rPr>
        <w:t xml:space="preserve">Besides, a TCI state indicated in a DCI format 1_0, 1_1 or 1_2 can be applied for transmissions of PDSCH, PDCCH, PUSCH, PUCCH, CSI-RS, and SRS in one or more CCs after application time. The one or more CCs refers to a CC group, noted as a </w:t>
      </w:r>
      <w:r>
        <w:rPr>
          <w:rFonts w:eastAsia="宋体"/>
          <w:iCs/>
        </w:rPr>
        <w:t>L1</w:t>
      </w:r>
      <w:r>
        <w:rPr>
          <w:rFonts w:hint="eastAsia" w:eastAsia="宋体"/>
          <w:iCs/>
        </w:rPr>
        <w:t xml:space="preserve">-level CC group, which should be aligned with MAC-level CC group and RRC-level CC group. </w:t>
      </w:r>
    </w:p>
    <w:p>
      <w:pPr>
        <w:pStyle w:val="99"/>
        <w:snapToGrid w:val="0"/>
        <w:spacing w:before="60" w:beforeLines="25" w:after="60" w:afterLines="25" w:line="300" w:lineRule="auto"/>
        <w:ind w:firstLine="0" w:firstLineChars="0"/>
        <w:jc w:val="both"/>
        <w:rPr>
          <w:rFonts w:eastAsia="宋体"/>
          <w:iCs/>
        </w:rPr>
      </w:pPr>
      <w:r>
        <w:rPr>
          <w:rFonts w:hint="eastAsia" w:eastAsia="宋体"/>
          <w:iCs/>
        </w:rPr>
        <w:t>Therefore, for unified TCI framework in Rel-17, a RRC-level CC group/list is indicated as one of the followings:</w:t>
      </w:r>
    </w:p>
    <w:p>
      <w:pPr>
        <w:pStyle w:val="99"/>
        <w:numPr>
          <w:ilvl w:val="0"/>
          <w:numId w:val="8"/>
        </w:numPr>
        <w:snapToGrid w:val="0"/>
        <w:spacing w:before="60" w:beforeLines="25" w:after="60" w:afterLines="25" w:line="300" w:lineRule="auto"/>
        <w:ind w:left="400" w:hanging="400" w:hangingChars="200"/>
        <w:jc w:val="both"/>
        <w:rPr>
          <w:rFonts w:eastAsia="宋体"/>
          <w:iCs/>
        </w:rPr>
      </w:pPr>
      <w:r>
        <w:rPr>
          <w:rFonts w:hint="eastAsia" w:eastAsia="宋体"/>
          <w:iCs/>
        </w:rPr>
        <w:t xml:space="preserve">Option 1: A RRC-level CC group/list is configured explicitly, e.g. similar to </w:t>
      </w:r>
      <w:r>
        <w:rPr>
          <w:i/>
          <w:iCs/>
        </w:rPr>
        <w:t>simultaneousTCI-UpdateList1-r16</w:t>
      </w:r>
      <w:r>
        <w:rPr>
          <w:rFonts w:eastAsia="宋体"/>
          <w:i/>
          <w:iCs/>
        </w:rPr>
        <w:t xml:space="preserve"> </w:t>
      </w:r>
      <w:r>
        <w:rPr>
          <w:rFonts w:hint="eastAsia" w:eastAsia="宋体"/>
        </w:rPr>
        <w:t xml:space="preserve">in </w:t>
      </w:r>
      <w:r>
        <w:rPr>
          <w:i/>
          <w:iCs/>
        </w:rPr>
        <w:t>CellGroupConfig</w:t>
      </w:r>
      <w:r>
        <w:rPr>
          <w:rFonts w:hint="eastAsia" w:eastAsia="宋体"/>
          <w:iCs/>
        </w:rPr>
        <w:t xml:space="preserve">. A TCI state pool can be configured in one of CCs in the RRC-level CC group. </w:t>
      </w:r>
    </w:p>
    <w:p>
      <w:pPr>
        <w:pStyle w:val="99"/>
        <w:numPr>
          <w:ilvl w:val="0"/>
          <w:numId w:val="8"/>
        </w:numPr>
        <w:snapToGrid w:val="0"/>
        <w:spacing w:before="60" w:beforeLines="25" w:after="60" w:afterLines="25" w:line="300" w:lineRule="auto"/>
        <w:ind w:left="400" w:hanging="400" w:hangingChars="200"/>
        <w:jc w:val="both"/>
        <w:rPr>
          <w:rFonts w:eastAsia="宋体"/>
          <w:iCs/>
        </w:rPr>
      </w:pPr>
      <w:r>
        <w:rPr>
          <w:rFonts w:hint="eastAsia" w:eastAsia="宋体"/>
          <w:iCs/>
        </w:rPr>
        <w:t xml:space="preserve">Option 2: A RRC-level CC group/list is configured implicitly. For example, a set of CCs which are configured with </w:t>
      </w:r>
      <w:r>
        <w:rPr>
          <w:rFonts w:eastAsia="宋体"/>
          <w:iCs/>
        </w:rPr>
        <w:t>the</w:t>
      </w:r>
      <w:r>
        <w:rPr>
          <w:rFonts w:hint="eastAsia" w:eastAsia="宋体"/>
          <w:iCs/>
        </w:rPr>
        <w:t xml:space="preserve"> same CC </w:t>
      </w:r>
      <w:r>
        <w:rPr>
          <w:rFonts w:eastAsia="宋体"/>
          <w:iCs/>
        </w:rPr>
        <w:t xml:space="preserve">ID (by RRC pointer(s) to reference CC/BWP per PDSCH_Config) </w:t>
      </w:r>
      <w:r>
        <w:rPr>
          <w:rFonts w:hint="eastAsia" w:eastAsia="宋体"/>
          <w:iCs/>
        </w:rPr>
        <w:t xml:space="preserve">as a reference CC constitute a RRC-level CC group. </w:t>
      </w:r>
    </w:p>
    <w:p>
      <w:pPr>
        <w:pStyle w:val="99"/>
        <w:snapToGrid w:val="0"/>
        <w:spacing w:before="60" w:beforeLines="25" w:after="60" w:afterLines="25" w:line="300" w:lineRule="auto"/>
        <w:ind w:firstLine="0" w:firstLineChars="0"/>
        <w:jc w:val="both"/>
        <w:rPr>
          <w:rFonts w:eastAsia="宋体"/>
          <w:iCs/>
        </w:rPr>
      </w:pPr>
      <w:r>
        <w:rPr>
          <w:rFonts w:hint="eastAsia" w:eastAsia="宋体"/>
          <w:iCs/>
        </w:rPr>
        <w:t xml:space="preserve">In our views, </w:t>
      </w:r>
      <w:r>
        <w:rPr>
          <w:rFonts w:eastAsia="宋体"/>
          <w:iCs/>
        </w:rPr>
        <w:t>O</w:t>
      </w:r>
      <w:r>
        <w:rPr>
          <w:rFonts w:hint="eastAsia" w:eastAsia="宋体"/>
          <w:iCs/>
        </w:rPr>
        <w:t xml:space="preserve">ption 1 </w:t>
      </w:r>
      <w:r>
        <w:rPr>
          <w:rFonts w:eastAsia="宋体"/>
          <w:iCs/>
        </w:rPr>
        <w:t xml:space="preserve">can save RRC overhead of individual reference CC/BWP-ID configuration for each of CC/BWP, </w:t>
      </w:r>
      <w:r>
        <w:rPr>
          <w:rFonts w:hint="eastAsia" w:eastAsia="宋体"/>
          <w:iCs/>
        </w:rPr>
        <w:t xml:space="preserve">if a unique reference CC/BWP is configured for the CC group/list, </w:t>
      </w:r>
      <w:r>
        <w:rPr>
          <w:rFonts w:eastAsia="宋体"/>
          <w:iCs/>
        </w:rPr>
        <w:t xml:space="preserve">compared with Option 2. </w:t>
      </w:r>
      <w:r>
        <w:rPr>
          <w:rFonts w:hint="eastAsia" w:eastAsia="宋体"/>
          <w:iCs/>
        </w:rPr>
        <w:t>Once configured, this RRC-level CC group can be used for determining CC scope for TCI state(s) activation via MAC CE, and for TCI state indication via DCI</w:t>
      </w:r>
      <w:r>
        <w:rPr>
          <w:rFonts w:eastAsia="宋体"/>
          <w:iCs/>
        </w:rPr>
        <w:t>, as well</w:t>
      </w:r>
      <w:r>
        <w:rPr>
          <w:rFonts w:hint="eastAsia" w:eastAsia="宋体"/>
          <w:iCs/>
        </w:rPr>
        <w:t xml:space="preserve">. </w:t>
      </w:r>
    </w:p>
    <w:p>
      <w:pPr>
        <w:pStyle w:val="99"/>
        <w:snapToGrid w:val="0"/>
        <w:spacing w:before="60" w:beforeLines="25" w:after="60" w:afterLines="25" w:line="300" w:lineRule="auto"/>
        <w:ind w:firstLine="0" w:firstLineChars="0"/>
        <w:jc w:val="both"/>
        <w:rPr>
          <w:rFonts w:eastAsia="宋体"/>
          <w:iCs/>
        </w:rPr>
      </w:pPr>
      <w:r>
        <w:rPr>
          <w:rFonts w:eastAsia="宋体"/>
          <w:iCs/>
        </w:rPr>
        <w:t>On the other hand, t</w:t>
      </w:r>
      <w:r>
        <w:rPr>
          <w:rFonts w:hint="eastAsia" w:eastAsia="宋体"/>
          <w:iCs/>
        </w:rPr>
        <w:t>he reference CC can be determined as one of the followings:</w:t>
      </w:r>
    </w:p>
    <w:p>
      <w:pPr>
        <w:pStyle w:val="99"/>
        <w:numPr>
          <w:ilvl w:val="0"/>
          <w:numId w:val="8"/>
        </w:numPr>
        <w:snapToGrid w:val="0"/>
        <w:spacing w:before="60" w:beforeLines="25" w:after="60" w:afterLines="25" w:line="300" w:lineRule="auto"/>
        <w:ind w:left="400" w:hanging="400" w:hangingChars="200"/>
        <w:jc w:val="both"/>
        <w:rPr>
          <w:rFonts w:eastAsia="宋体"/>
          <w:iCs/>
        </w:rPr>
      </w:pPr>
      <w:r>
        <w:rPr>
          <w:rFonts w:hint="eastAsia" w:eastAsia="宋体"/>
          <w:iCs/>
        </w:rPr>
        <w:t xml:space="preserve">Option A: </w:t>
      </w:r>
      <w:r>
        <w:rPr>
          <w:rFonts w:eastAsia="宋体"/>
          <w:iCs/>
        </w:rPr>
        <w:t>The reference CC is explicitly configured for a RRC-level CC group, e.g., a unique reference CC for a RRC-level CC group, or reference CC individually configured for each of CCs (by RRC pointer(s) to reference CC/BWP per PDSCH_Config)</w:t>
      </w:r>
      <w:r>
        <w:rPr>
          <w:rFonts w:hint="eastAsia" w:eastAsia="宋体"/>
          <w:iCs/>
        </w:rPr>
        <w:t>.</w:t>
      </w:r>
    </w:p>
    <w:p>
      <w:pPr>
        <w:pStyle w:val="99"/>
        <w:numPr>
          <w:ilvl w:val="0"/>
          <w:numId w:val="8"/>
        </w:numPr>
        <w:snapToGrid w:val="0"/>
        <w:spacing w:before="60" w:beforeLines="25" w:after="60" w:afterLines="25" w:line="300" w:lineRule="auto"/>
        <w:ind w:left="400" w:hanging="400" w:hangingChars="200"/>
        <w:jc w:val="both"/>
        <w:rPr>
          <w:rFonts w:eastAsia="宋体"/>
          <w:iCs/>
        </w:rPr>
      </w:pPr>
      <w:r>
        <w:rPr>
          <w:rFonts w:hint="eastAsia" w:eastAsia="宋体"/>
          <w:iCs/>
        </w:rPr>
        <w:t xml:space="preserve">Option B: </w:t>
      </w:r>
      <w:r>
        <w:rPr>
          <w:rFonts w:eastAsia="宋体"/>
          <w:iCs/>
        </w:rPr>
        <w:t>The reference CC is implicitly determined according to a rule</w:t>
      </w:r>
      <w:r>
        <w:rPr>
          <w:rFonts w:hint="eastAsia" w:eastAsia="宋体"/>
          <w:iCs/>
        </w:rPr>
        <w:t>, e.g. a l</w:t>
      </w:r>
      <w:r>
        <w:rPr>
          <w:rFonts w:eastAsia="宋体"/>
          <w:iCs/>
        </w:rPr>
        <w:t>owest CC index in a RRC-level CC group</w:t>
      </w:r>
      <w:r>
        <w:rPr>
          <w:rFonts w:hint="eastAsia" w:eastAsia="宋体"/>
          <w:iCs/>
        </w:rPr>
        <w:t xml:space="preserve">, or </w:t>
      </w:r>
      <w:r>
        <w:rPr>
          <w:rFonts w:eastAsia="宋体"/>
          <w:iCs/>
        </w:rPr>
        <w:t>a CC configured with TCI state pool from the CC list</w:t>
      </w:r>
      <w:r>
        <w:rPr>
          <w:rFonts w:hint="eastAsia" w:eastAsia="宋体"/>
          <w:iCs/>
        </w:rPr>
        <w:t>.</w:t>
      </w:r>
      <w:r>
        <w:rPr>
          <w:rFonts w:eastAsia="宋体"/>
          <w:iCs/>
        </w:rPr>
        <w:t xml:space="preserve"> </w:t>
      </w:r>
    </w:p>
    <w:p>
      <w:pPr>
        <w:pStyle w:val="99"/>
        <w:snapToGrid w:val="0"/>
        <w:spacing w:before="60" w:beforeLines="25" w:after="60" w:afterLines="25" w:line="300" w:lineRule="auto"/>
        <w:ind w:firstLine="0" w:firstLineChars="0"/>
        <w:jc w:val="both"/>
        <w:rPr>
          <w:rFonts w:eastAsia="宋体"/>
          <w:iCs/>
        </w:rPr>
      </w:pPr>
      <w:r>
        <w:rPr>
          <w:rFonts w:hint="eastAsia" w:eastAsia="宋体"/>
          <w:iCs/>
        </w:rPr>
        <w:t>In our views, option A</w:t>
      </w:r>
      <w:r>
        <w:rPr>
          <w:rFonts w:eastAsia="宋体"/>
          <w:iCs/>
        </w:rPr>
        <w:t xml:space="preserve"> with explicit configuration for reference CC</w:t>
      </w:r>
      <w:r>
        <w:rPr>
          <w:rFonts w:hint="eastAsia" w:eastAsia="宋体"/>
          <w:iCs/>
        </w:rPr>
        <w:t xml:space="preserve"> is </w:t>
      </w:r>
      <w:r>
        <w:rPr>
          <w:rFonts w:eastAsia="宋体"/>
          <w:iCs/>
        </w:rPr>
        <w:t xml:space="preserve">much </w:t>
      </w:r>
      <w:r>
        <w:rPr>
          <w:rFonts w:hint="eastAsia" w:eastAsia="宋体"/>
          <w:iCs/>
        </w:rPr>
        <w:t>more flexible and clear.</w:t>
      </w:r>
    </w:p>
    <w:p>
      <w:pPr>
        <w:pStyle w:val="99"/>
        <w:snapToGrid w:val="0"/>
        <w:spacing w:before="60" w:beforeLines="25" w:after="60" w:afterLines="25" w:line="300" w:lineRule="auto"/>
        <w:ind w:firstLine="0" w:firstLineChars="0"/>
        <w:jc w:val="both"/>
        <w:rPr>
          <w:rFonts w:eastAsia="微软雅黑"/>
          <w:i/>
          <w:iCs/>
          <w:szCs w:val="20"/>
        </w:rPr>
      </w:pPr>
      <w:r>
        <w:rPr>
          <w:rFonts w:hint="eastAsia" w:eastAsia="微软雅黑"/>
          <w:b/>
          <w:bCs/>
          <w:i/>
          <w:iCs/>
          <w:szCs w:val="20"/>
        </w:rPr>
        <w:t>Proposal</w:t>
      </w:r>
      <w:r>
        <w:rPr>
          <w:rFonts w:eastAsia="微软雅黑"/>
          <w:b/>
          <w:bCs/>
          <w:i/>
          <w:iCs/>
          <w:szCs w:val="20"/>
        </w:rPr>
        <w:t xml:space="preserve"> </w:t>
      </w:r>
      <w:r>
        <w:rPr>
          <w:rFonts w:hint="eastAsia" w:eastAsia="微软雅黑"/>
          <w:b/>
          <w:bCs/>
          <w:i/>
          <w:iCs/>
          <w:szCs w:val="20"/>
        </w:rPr>
        <w:t>5:</w:t>
      </w:r>
      <w:r>
        <w:rPr>
          <w:rFonts w:eastAsia="微软雅黑"/>
          <w:b/>
          <w:bCs/>
          <w:i/>
          <w:iCs/>
          <w:szCs w:val="20"/>
        </w:rPr>
        <w:t xml:space="preserve"> </w:t>
      </w:r>
      <w:r>
        <w:rPr>
          <w:rFonts w:eastAsia="微软雅黑"/>
          <w:i/>
          <w:iCs/>
          <w:szCs w:val="20"/>
        </w:rPr>
        <w:t>On Rel</w:t>
      </w:r>
      <w:r>
        <w:rPr>
          <w:rFonts w:hint="eastAsia" w:eastAsia="微软雅黑"/>
          <w:i/>
          <w:iCs/>
          <w:szCs w:val="20"/>
        </w:rPr>
        <w:t>-</w:t>
      </w:r>
      <w:r>
        <w:rPr>
          <w:rFonts w:eastAsia="微软雅黑"/>
          <w:i/>
          <w:iCs/>
          <w:szCs w:val="20"/>
        </w:rPr>
        <w:t>17 unified TCI framework, regarding the common TCI state ID update and activation for CA, a list of CC(s) applied by the common TCI state ID, and the reference CC/BWP for the list are both explicitly configured.</w:t>
      </w:r>
    </w:p>
    <w:p>
      <w:pPr>
        <w:pStyle w:val="99"/>
        <w:numPr>
          <w:ilvl w:val="0"/>
          <w:numId w:val="8"/>
        </w:numPr>
        <w:snapToGrid w:val="0"/>
        <w:spacing w:before="60" w:beforeLines="25" w:after="60" w:afterLines="25" w:line="300" w:lineRule="auto"/>
        <w:ind w:left="358" w:hanging="358" w:hangingChars="179"/>
        <w:jc w:val="both"/>
        <w:rPr>
          <w:rFonts w:eastAsia="微软雅黑"/>
          <w:i/>
          <w:iCs/>
          <w:szCs w:val="20"/>
        </w:rPr>
      </w:pPr>
      <w:r>
        <w:rPr>
          <w:rFonts w:eastAsia="微软雅黑"/>
          <w:i/>
          <w:iCs/>
          <w:szCs w:val="20"/>
        </w:rPr>
        <w:t>Note that the list of CC(s) is used for determining applicable CC(s)/BWP(s) for all of the common RRC TCI pool, common MAC activated TCI pool, and common L1 indicated TCI state</w:t>
      </w:r>
      <w:r>
        <w:rPr>
          <w:rFonts w:hint="eastAsia" w:eastAsia="微软雅黑"/>
          <w:i/>
          <w:iCs/>
          <w:szCs w:val="20"/>
        </w:rPr>
        <w:t xml:space="preserve">. </w:t>
      </w:r>
    </w:p>
    <w:p>
      <w:pPr>
        <w:pStyle w:val="99"/>
        <w:snapToGrid w:val="0"/>
        <w:spacing w:before="60" w:beforeLines="25" w:after="60" w:afterLines="25" w:line="300" w:lineRule="auto"/>
        <w:ind w:firstLine="0" w:firstLineChars="0"/>
        <w:jc w:val="both"/>
        <w:rPr>
          <w:rFonts w:eastAsia="宋体"/>
          <w:iCs/>
        </w:rPr>
      </w:pPr>
      <w:r>
        <w:rPr>
          <w:rFonts w:eastAsia="宋体"/>
          <w:iCs/>
        </w:rPr>
        <w:t xml:space="preserve">Then, for saving RRC overhead of PL-RS configuration, the above reference mechanism can be further introduced for PL-RS configuration in our views. </w:t>
      </w:r>
      <w:r>
        <w:rPr>
          <w:rFonts w:hint="eastAsia" w:eastAsia="宋体"/>
          <w:iCs/>
        </w:rPr>
        <w:t xml:space="preserve">Considering TCI state pool may be configured in a DL BWP/CC, and PL-RS pool may be configured in a UL BWP/CC, BWP/CC index for the PL-RS pool should be explicitly indicated. A reference BWP/CC ID for PL-RS pool should be indicated per </w:t>
      </w:r>
      <w:r>
        <w:rPr>
          <w:rFonts w:eastAsia="宋体"/>
          <w:iCs/>
        </w:rPr>
        <w:t>UL BWP/CC</w:t>
      </w:r>
      <w:r>
        <w:rPr>
          <w:rFonts w:hint="eastAsia" w:eastAsia="宋体"/>
          <w:iCs/>
        </w:rPr>
        <w:t xml:space="preserve">. </w:t>
      </w:r>
    </w:p>
    <w:p>
      <w:pPr>
        <w:pStyle w:val="99"/>
        <w:snapToGrid w:val="0"/>
        <w:spacing w:before="60" w:beforeLines="25" w:after="60" w:afterLines="25" w:line="300" w:lineRule="auto"/>
        <w:ind w:firstLine="0" w:firstLineChars="0"/>
        <w:jc w:val="both"/>
        <w:rPr>
          <w:rFonts w:eastAsia="微软雅黑"/>
          <w:i/>
          <w:iCs/>
          <w:szCs w:val="20"/>
        </w:rPr>
      </w:pPr>
      <w:r>
        <w:rPr>
          <w:rFonts w:hint="eastAsia" w:eastAsia="微软雅黑"/>
          <w:b/>
          <w:bCs/>
          <w:i/>
          <w:iCs/>
          <w:szCs w:val="20"/>
        </w:rPr>
        <w:t>Proposal</w:t>
      </w:r>
      <w:r>
        <w:rPr>
          <w:rFonts w:eastAsia="微软雅黑"/>
          <w:b/>
          <w:bCs/>
          <w:i/>
          <w:iCs/>
          <w:szCs w:val="20"/>
        </w:rPr>
        <w:t xml:space="preserve"> </w:t>
      </w:r>
      <w:r>
        <w:rPr>
          <w:rFonts w:hint="eastAsia" w:eastAsia="微软雅黑"/>
          <w:b/>
          <w:bCs/>
          <w:i/>
          <w:iCs/>
          <w:szCs w:val="20"/>
        </w:rPr>
        <w:t>6:</w:t>
      </w:r>
      <w:r>
        <w:rPr>
          <w:rFonts w:eastAsia="微软雅黑"/>
          <w:b/>
          <w:bCs/>
          <w:i/>
          <w:iCs/>
          <w:szCs w:val="20"/>
        </w:rPr>
        <w:t xml:space="preserve"> </w:t>
      </w:r>
      <w:r>
        <w:rPr>
          <w:rFonts w:eastAsia="微软雅黑"/>
          <w:i/>
          <w:iCs/>
          <w:szCs w:val="20"/>
        </w:rPr>
        <w:t xml:space="preserve">Common RRC-level </w:t>
      </w:r>
      <w:r>
        <w:rPr>
          <w:rFonts w:hint="eastAsia" w:eastAsia="微软雅黑"/>
          <w:i/>
          <w:iCs/>
          <w:szCs w:val="20"/>
        </w:rPr>
        <w:t>PL-RS pool</w:t>
      </w:r>
      <w:r>
        <w:rPr>
          <w:rFonts w:eastAsia="微软雅黑"/>
          <w:i/>
          <w:iCs/>
          <w:szCs w:val="20"/>
        </w:rPr>
        <w:t xml:space="preserve"> can be shared with multi-BWP/CC that is analogous to sharing TCI state pool cross multi-BWP/CC.</w:t>
      </w:r>
    </w:p>
    <w:p>
      <w:pPr>
        <w:pStyle w:val="99"/>
        <w:numPr>
          <w:ilvl w:val="0"/>
          <w:numId w:val="8"/>
        </w:numPr>
        <w:snapToGrid w:val="0"/>
        <w:spacing w:before="60" w:beforeLines="25" w:after="60" w:afterLines="25" w:line="300" w:lineRule="auto"/>
        <w:ind w:left="358" w:hanging="358" w:hangingChars="179"/>
        <w:jc w:val="both"/>
        <w:rPr>
          <w:rFonts w:eastAsia="微软雅黑"/>
          <w:i/>
          <w:iCs/>
          <w:szCs w:val="20"/>
        </w:rPr>
      </w:pPr>
      <w:r>
        <w:rPr>
          <w:rFonts w:eastAsia="微软雅黑"/>
          <w:i/>
          <w:iCs/>
          <w:szCs w:val="20"/>
        </w:rPr>
        <w:t>RRC-configured PL-RS pool(s) can be absent in the PUSCH/PUCCH/SRS configuration for each BWP/CC, and replaced with a reference to RRC-configured PL-RS pool(s) in a reference BWP/CC.</w:t>
      </w:r>
    </w:p>
    <w:p>
      <w:pPr>
        <w:numPr>
          <w:ilvl w:val="1"/>
          <w:numId w:val="7"/>
        </w:numPr>
        <w:tabs>
          <w:tab w:val="clear" w:pos="576"/>
        </w:tabs>
        <w:snapToGrid w:val="0"/>
        <w:spacing w:before="240" w:after="120" w:afterLines="50" w:line="240" w:lineRule="auto"/>
        <w:ind w:left="567" w:hanging="567"/>
        <w:jc w:val="both"/>
        <w:outlineLvl w:val="1"/>
        <w:rPr>
          <w:rFonts w:eastAsia="宋体"/>
          <w:b/>
          <w:bCs/>
          <w:sz w:val="24"/>
          <w:szCs w:val="24"/>
        </w:rPr>
      </w:pPr>
      <w:r>
        <w:rPr>
          <w:rFonts w:hint="eastAsia" w:eastAsia="宋体"/>
          <w:b/>
          <w:bCs/>
          <w:sz w:val="24"/>
          <w:szCs w:val="24"/>
        </w:rPr>
        <w:t>Signaling design for DCI based TCI state</w:t>
      </w:r>
      <w:r>
        <w:rPr>
          <w:rFonts w:eastAsia="宋体"/>
          <w:b/>
          <w:bCs/>
          <w:sz w:val="24"/>
          <w:szCs w:val="24"/>
        </w:rPr>
        <w:t xml:space="preserve"> </w:t>
      </w:r>
      <w:r>
        <w:rPr>
          <w:rFonts w:hint="eastAsia" w:eastAsia="宋体"/>
          <w:b/>
          <w:bCs/>
          <w:sz w:val="24"/>
          <w:szCs w:val="24"/>
        </w:rPr>
        <w:t>indication</w:t>
      </w:r>
    </w:p>
    <w:p>
      <w:pPr>
        <w:widowControl w:val="0"/>
        <w:numPr>
          <w:ilvl w:val="2"/>
          <w:numId w:val="7"/>
        </w:numPr>
        <w:tabs>
          <w:tab w:val="left" w:pos="7938"/>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Applicable timing of TCI state indication</w:t>
      </w:r>
    </w:p>
    <w:p>
      <w:pPr>
        <w:pStyle w:val="109"/>
        <w:snapToGrid w:val="0"/>
        <w:spacing w:before="120" w:after="120" w:afterLines="50" w:line="300" w:lineRule="auto"/>
        <w:ind w:firstLine="0" w:firstLineChars="0"/>
        <w:jc w:val="both"/>
        <w:rPr>
          <w:rFonts w:eastAsia="宋体"/>
        </w:rPr>
      </w:pPr>
      <w:r>
        <w:rPr>
          <w:rFonts w:hint="eastAsia" w:eastAsia="宋体"/>
        </w:rPr>
        <w:t>I</w:t>
      </w:r>
      <w:r>
        <w:rPr>
          <w:rFonts w:eastAsia="宋体"/>
        </w:rPr>
        <w:t>n RAN1#10</w:t>
      </w:r>
      <w:r>
        <w:rPr>
          <w:rFonts w:hint="eastAsia" w:eastAsia="宋体"/>
        </w:rPr>
        <w:t>6</w:t>
      </w:r>
      <w:r>
        <w:rPr>
          <w:rFonts w:eastAsia="宋体"/>
        </w:rPr>
        <w:t>-e,</w:t>
      </w:r>
      <w:r>
        <w:t xml:space="preserve"> the following agreement </w:t>
      </w:r>
      <w:r>
        <w:rPr>
          <w:rFonts w:hint="eastAsia" w:eastAsia="宋体"/>
        </w:rPr>
        <w:t>was</w:t>
      </w:r>
      <w:r>
        <w:t xml:space="preserve"> reached</w:t>
      </w:r>
      <w:r>
        <w:rPr>
          <w:rFonts w:hint="eastAsia" w:eastAsia="宋体"/>
        </w:rPr>
        <w:t xml:space="preserve"> for</w:t>
      </w:r>
      <w:r>
        <w:rPr>
          <w:rFonts w:eastAsia="宋体"/>
        </w:rPr>
        <w:t xml:space="preserve"> the </w:t>
      </w:r>
      <w:r>
        <w:t>applicable timing of TCI state indication.</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6" w:hRule="atLeast"/>
        </w:trPr>
        <w:tc>
          <w:tcPr>
            <w:tcW w:w="9350" w:type="dxa"/>
          </w:tcPr>
          <w:p>
            <w:pPr>
              <w:snapToGrid w:val="0"/>
              <w:spacing w:after="0"/>
              <w:jc w:val="both"/>
              <w:rPr>
                <w:rFonts w:cs="Times"/>
                <w:b/>
                <w:bCs/>
                <w:szCs w:val="20"/>
                <w:u w:val="single"/>
              </w:rPr>
            </w:pPr>
            <w:r>
              <w:rPr>
                <w:rFonts w:cs="Times"/>
                <w:b/>
                <w:bCs/>
                <w:szCs w:val="20"/>
                <w:u w:val="single"/>
              </w:rPr>
              <w:t>Agreement</w:t>
            </w:r>
          </w:p>
          <w:p>
            <w:pPr>
              <w:snapToGrid w:val="0"/>
              <w:spacing w:after="0" w:line="240" w:lineRule="auto"/>
              <w:rPr>
                <w:rFonts w:eastAsia="Batang"/>
                <w:szCs w:val="20"/>
                <w:lang w:eastAsia="en-US"/>
              </w:rPr>
            </w:pPr>
            <w:r>
              <w:rPr>
                <w:rFonts w:eastAsia="Batang"/>
                <w:szCs w:val="20"/>
                <w:lang w:eastAsia="en-US"/>
              </w:rPr>
              <w:t>On Rel-17 DCI-based beam indication, regarding application time of the beam indication, the first slot to apply the indicated TCI is at least Y symbols after the last symbol of the acknowledgment of the joint or separate DL/UL beam indication.</w:t>
            </w:r>
          </w:p>
          <w:p>
            <w:pPr>
              <w:numPr>
                <w:ilvl w:val="0"/>
                <w:numId w:val="13"/>
              </w:numPr>
              <w:snapToGrid w:val="0"/>
              <w:spacing w:after="0" w:line="240" w:lineRule="auto"/>
              <w:rPr>
                <w:rFonts w:eastAsia="Batang"/>
                <w:szCs w:val="20"/>
                <w:lang w:eastAsia="en-US"/>
              </w:rPr>
            </w:pPr>
            <w:r>
              <w:rPr>
                <w:rFonts w:eastAsia="Batang"/>
                <w:szCs w:val="20"/>
                <w:lang w:eastAsia="en-US"/>
              </w:rPr>
              <w:t>Note: The Y symbols are configured by the gNB based on UE capability, which is also reported in units of symbols.</w:t>
            </w:r>
          </w:p>
          <w:p>
            <w:pPr>
              <w:numPr>
                <w:ilvl w:val="0"/>
                <w:numId w:val="13"/>
              </w:numPr>
              <w:snapToGrid w:val="0"/>
              <w:spacing w:after="0" w:line="240" w:lineRule="auto"/>
              <w:rPr>
                <w:rFonts w:eastAsia="Batang"/>
                <w:strike/>
                <w:szCs w:val="20"/>
                <w:lang w:eastAsia="en-US"/>
              </w:rPr>
            </w:pPr>
            <w:r>
              <w:rPr>
                <w:rFonts w:eastAsia="Batang"/>
                <w:szCs w:val="20"/>
                <w:lang w:eastAsia="en-US"/>
              </w:rPr>
              <w:t>FFS whether Y is configured per BWP , per CC or per band or per SCS , or independent of BWP/CC/SCS</w:t>
            </w:r>
          </w:p>
          <w:p>
            <w:pPr>
              <w:numPr>
                <w:ilvl w:val="1"/>
                <w:numId w:val="13"/>
              </w:numPr>
              <w:snapToGrid w:val="0"/>
              <w:spacing w:after="0" w:line="240" w:lineRule="auto"/>
              <w:rPr>
                <w:rFonts w:eastAsia="Batang"/>
                <w:szCs w:val="20"/>
                <w:lang w:eastAsia="en-US"/>
              </w:rPr>
            </w:pPr>
            <w:r>
              <w:rPr>
                <w:rFonts w:eastAsia="Batang"/>
                <w:szCs w:val="20"/>
                <w:lang w:eastAsia="en-US"/>
              </w:rPr>
              <w:t>Note: Previous agreement in RAN1#104b-e that remaining unused DCI fields and codepoints are reserved in R17 are not to be reverted</w:t>
            </w:r>
          </w:p>
          <w:p>
            <w:pPr>
              <w:snapToGrid w:val="0"/>
              <w:spacing w:after="0"/>
              <w:jc w:val="both"/>
              <w:rPr>
                <w:rFonts w:cs="Times"/>
                <w:b/>
                <w:bCs/>
                <w:szCs w:val="20"/>
                <w:u w:val="single"/>
              </w:rPr>
            </w:pPr>
            <w:r>
              <w:rPr>
                <w:rFonts w:cs="Times"/>
                <w:b/>
                <w:bCs/>
                <w:szCs w:val="20"/>
                <w:u w:val="single"/>
              </w:rPr>
              <w:t>Agreement</w:t>
            </w:r>
          </w:p>
          <w:p>
            <w:pPr>
              <w:spacing w:after="0" w:line="240" w:lineRule="auto"/>
              <w:rPr>
                <w:rFonts w:eastAsia="Batang"/>
                <w:szCs w:val="20"/>
              </w:rPr>
            </w:pPr>
            <w:r>
              <w:rPr>
                <w:rFonts w:eastAsia="Batang"/>
                <w:szCs w:val="20"/>
                <w:lang w:val="en-GB"/>
              </w:rPr>
              <w:t>On Rel-17 DCI-based beam indication, regarding application time of the beam indication, in RAN1#106-bis-e, further down select one from the following alternatives for the case of CA:</w:t>
            </w:r>
          </w:p>
          <w:p>
            <w:pPr>
              <w:numPr>
                <w:ilvl w:val="0"/>
                <w:numId w:val="14"/>
              </w:numPr>
              <w:spacing w:after="0" w:line="240" w:lineRule="auto"/>
              <w:rPr>
                <w:rFonts w:eastAsia="Batang"/>
                <w:szCs w:val="20"/>
              </w:rPr>
            </w:pPr>
            <w:r>
              <w:rPr>
                <w:rFonts w:eastAsia="Batang"/>
                <w:szCs w:val="20"/>
              </w:rPr>
              <w:t>Alt1: The first slot and the Y symbols are both determined on the carrier with the smallest SCS among the carrier(s) applying the beam indication</w:t>
            </w:r>
          </w:p>
          <w:p>
            <w:pPr>
              <w:numPr>
                <w:ilvl w:val="0"/>
                <w:numId w:val="14"/>
              </w:numPr>
              <w:spacing w:after="0" w:line="240" w:lineRule="auto"/>
              <w:rPr>
                <w:rFonts w:eastAsia="Batang"/>
                <w:szCs w:val="20"/>
              </w:rPr>
            </w:pPr>
            <w:r>
              <w:rPr>
                <w:rFonts w:eastAsia="Batang"/>
                <w:szCs w:val="20"/>
              </w:rPr>
              <w:t>Alt2: The first slot and the Y symbols are both determined on the carrier with smallest SCS among the carrier(s) applying the beam indication and the UL carrier carrying the acknowledgment</w:t>
            </w:r>
          </w:p>
          <w:p>
            <w:pPr>
              <w:numPr>
                <w:ilvl w:val="0"/>
                <w:numId w:val="14"/>
              </w:numPr>
              <w:spacing w:after="0" w:line="240" w:lineRule="auto"/>
              <w:rPr>
                <w:szCs w:val="18"/>
              </w:rPr>
            </w:pPr>
            <w:r>
              <w:rPr>
                <w:rFonts w:eastAsia="Batang"/>
                <w:szCs w:val="20"/>
              </w:rPr>
              <w:t>Alt3: The first slot and the Y symbols are both determined on the UL carrier carrying the acknowledgment.</w:t>
            </w:r>
          </w:p>
        </w:tc>
      </w:tr>
    </w:tbl>
    <w:p>
      <w:pPr>
        <w:pStyle w:val="109"/>
        <w:snapToGrid w:val="0"/>
        <w:spacing w:before="120" w:after="120" w:afterLines="50" w:line="300" w:lineRule="auto"/>
        <w:ind w:firstLine="0" w:firstLineChars="0"/>
        <w:jc w:val="both"/>
        <w:rPr>
          <w:rFonts w:eastAsia="宋体"/>
        </w:rPr>
      </w:pPr>
      <w:r>
        <w:rPr>
          <w:szCs w:val="20"/>
        </w:rPr>
        <w:t>General</w:t>
      </w:r>
      <w:r>
        <w:rPr>
          <w:rFonts w:hint="eastAsia" w:eastAsia="宋体"/>
          <w:szCs w:val="20"/>
        </w:rPr>
        <w:t>ly</w:t>
      </w:r>
      <w:r>
        <w:rPr>
          <w:szCs w:val="20"/>
        </w:rPr>
        <w:t xml:space="preserve"> speaking, from gNB perspective, we may only need a reference SCS for determining a sufficient Y value (not only for UE/gNB beam switching, but also for gNB decoding and scheduling). Therefore, we do not identify the necessity of a complicated rule for selecting the reference SCS. </w:t>
      </w:r>
      <w:r>
        <w:rPr>
          <w:rFonts w:hint="eastAsia" w:eastAsia="宋体"/>
          <w:szCs w:val="20"/>
        </w:rPr>
        <w:t>A</w:t>
      </w:r>
      <w:r>
        <w:rPr>
          <w:szCs w:val="20"/>
        </w:rPr>
        <w:t>nalogous to Rel-16 multi-CC simultaneous transmission, we prefer to reuse the solution of being based on SCS of Acknowledgment, i.e., Alt3.</w:t>
      </w:r>
    </w:p>
    <w:p>
      <w:pPr>
        <w:pStyle w:val="109"/>
        <w:numPr>
          <w:ilvl w:val="0"/>
          <w:numId w:val="8"/>
        </w:numPr>
        <w:snapToGrid w:val="0"/>
        <w:spacing w:before="120" w:after="120" w:afterLines="50" w:line="300" w:lineRule="auto"/>
        <w:ind w:left="400" w:firstLineChars="0"/>
        <w:jc w:val="both"/>
        <w:rPr>
          <w:rFonts w:eastAsia="宋体"/>
        </w:rPr>
      </w:pPr>
      <w:r>
        <w:rPr>
          <w:rFonts w:hint="eastAsia" w:eastAsia="宋体"/>
        </w:rPr>
        <w:t>Considering flexibility of the application time for different scenarios, such as cross CC, inter-cell, inter-panel, etc</w:t>
      </w:r>
      <w:r>
        <w:rPr>
          <w:rFonts w:eastAsia="宋体"/>
        </w:rPr>
        <w:t>.</w:t>
      </w:r>
      <w:r>
        <w:rPr>
          <w:rFonts w:hint="eastAsia" w:eastAsia="宋体"/>
        </w:rPr>
        <w:t xml:space="preserve">, one straightforward way is by means of indication via </w:t>
      </w:r>
      <w:r>
        <w:rPr>
          <w:rFonts w:eastAsia="宋体"/>
        </w:rPr>
        <w:t xml:space="preserve">a </w:t>
      </w:r>
      <w:r>
        <w:rPr>
          <w:rFonts w:hint="eastAsia" w:eastAsia="宋体"/>
        </w:rPr>
        <w:t>field, e.g. TDRA, in DCI</w:t>
      </w:r>
      <w:r>
        <w:rPr>
          <w:rFonts w:eastAsia="微软雅黑"/>
          <w:szCs w:val="20"/>
          <w:lang w:val="en-GB"/>
        </w:rPr>
        <w:t>, especially for DCI without DL assignment</w:t>
      </w:r>
      <w:r>
        <w:rPr>
          <w:rFonts w:hint="eastAsia" w:eastAsia="宋体"/>
        </w:rPr>
        <w:t xml:space="preserve">. </w:t>
      </w:r>
    </w:p>
    <w:p>
      <w:pPr>
        <w:pStyle w:val="109"/>
        <w:numPr>
          <w:ilvl w:val="0"/>
          <w:numId w:val="8"/>
        </w:numPr>
        <w:snapToGrid w:val="0"/>
        <w:spacing w:before="120" w:after="120" w:afterLines="50" w:line="300" w:lineRule="auto"/>
        <w:ind w:left="400" w:firstLineChars="0"/>
        <w:jc w:val="both"/>
      </w:pPr>
      <w:r>
        <w:t>Th</w:t>
      </w:r>
      <w:r>
        <w:rPr>
          <w:szCs w:val="20"/>
        </w:rPr>
        <w:t>e consideration on the starting point for applying the unified TCI should be taken on for simplifying the beam indication procedure, and then Rel-15/16 default beam/power control mechanism for PDSCH/PUCCH/SRS should NOT be supported on Rel-17 unified TCI framework.</w:t>
      </w:r>
    </w:p>
    <w:p>
      <w:pPr>
        <w:snapToGrid w:val="0"/>
        <w:spacing w:before="120" w:after="120" w:afterLines="50" w:line="300" w:lineRule="auto"/>
        <w:jc w:val="both"/>
      </w:pPr>
      <w:r>
        <w:rPr>
          <w:rFonts w:hint="eastAsia" w:eastAsia="微软雅黑"/>
          <w:b/>
          <w:bCs/>
          <w:i/>
          <w:iCs/>
          <w:szCs w:val="20"/>
        </w:rPr>
        <w:t>Proposal 7:</w:t>
      </w:r>
      <w:r>
        <w:rPr>
          <w:rFonts w:hint="eastAsia" w:eastAsia="微软雅黑"/>
          <w:i/>
          <w:iCs/>
          <w:szCs w:val="20"/>
        </w:rPr>
        <w:t xml:space="preserve"> Regarding application time of the TCI state indication for both of the DCI with or without DL assignment, the following aspects should be further </w:t>
      </w:r>
      <w:r>
        <w:rPr>
          <w:rFonts w:eastAsia="微软雅黑"/>
          <w:i/>
          <w:iCs/>
          <w:szCs w:val="20"/>
        </w:rPr>
        <w:t>supported</w:t>
      </w:r>
      <w:r>
        <w:rPr>
          <w:rFonts w:hint="eastAsia" w:eastAsia="微软雅黑"/>
          <w:i/>
          <w:iCs/>
          <w:szCs w:val="20"/>
        </w:rPr>
        <w:t xml:space="preserve">: </w:t>
      </w:r>
    </w:p>
    <w:p>
      <w:pPr>
        <w:pStyle w:val="99"/>
        <w:numPr>
          <w:ilvl w:val="0"/>
          <w:numId w:val="8"/>
        </w:numPr>
        <w:snapToGrid w:val="0"/>
        <w:spacing w:before="60" w:beforeLines="25" w:after="60" w:afterLines="25" w:line="300" w:lineRule="auto"/>
        <w:ind w:left="358" w:hanging="358" w:hangingChars="179"/>
        <w:jc w:val="both"/>
        <w:rPr>
          <w:rFonts w:eastAsia="微软雅黑" w:cs="Times"/>
          <w:bCs/>
          <w:i/>
          <w:iCs/>
          <w:szCs w:val="20"/>
        </w:rPr>
      </w:pPr>
      <w:r>
        <w:rPr>
          <w:rFonts w:eastAsia="宋体" w:cs="Times"/>
          <w:bCs/>
          <w:i/>
          <w:szCs w:val="20"/>
        </w:rPr>
        <w:t xml:space="preserve">Alt3: The first </w:t>
      </w:r>
      <w:r>
        <w:rPr>
          <w:rFonts w:eastAsia="微软雅黑" w:cs="Times"/>
          <w:bCs/>
          <w:i/>
          <w:iCs/>
          <w:szCs w:val="20"/>
        </w:rPr>
        <w:t>slot</w:t>
      </w:r>
      <w:r>
        <w:rPr>
          <w:rFonts w:eastAsia="宋体" w:cs="Times"/>
          <w:bCs/>
          <w:i/>
          <w:szCs w:val="20"/>
        </w:rPr>
        <w:t xml:space="preserve"> and the Y symbols are both determined on the UL carrier carrying the acknowledgment</w:t>
      </w:r>
      <w:r>
        <w:rPr>
          <w:rFonts w:hint="eastAsia" w:eastAsia="宋体" w:cs="Times"/>
          <w:bCs/>
          <w:i/>
          <w:szCs w:val="20"/>
        </w:rPr>
        <w:t xml:space="preserve"> </w:t>
      </w:r>
    </w:p>
    <w:p>
      <w:pPr>
        <w:pStyle w:val="109"/>
        <w:numPr>
          <w:ilvl w:val="1"/>
          <w:numId w:val="8"/>
        </w:numPr>
        <w:snapToGrid w:val="0"/>
        <w:spacing w:before="60" w:beforeLines="25" w:after="60" w:afterLines="25" w:line="300" w:lineRule="auto"/>
        <w:ind w:left="800" w:firstLineChars="0"/>
        <w:jc w:val="both"/>
        <w:rPr>
          <w:rFonts w:eastAsia="微软雅黑"/>
          <w:i/>
          <w:iCs/>
          <w:szCs w:val="20"/>
        </w:rPr>
      </w:pPr>
      <w:r>
        <w:rPr>
          <w:rFonts w:eastAsia="微软雅黑"/>
          <w:i/>
          <w:iCs/>
          <w:szCs w:val="20"/>
        </w:rPr>
        <w:t>The value(s) of application time Y can be associated with each of TDRA codepoints by RRC</w:t>
      </w:r>
      <w:r>
        <w:rPr>
          <w:rFonts w:eastAsia="宋体" w:cs="Times"/>
          <w:bCs/>
          <w:i/>
          <w:szCs w:val="20"/>
        </w:rPr>
        <w:t>, and t</w:t>
      </w:r>
      <w:r>
        <w:rPr>
          <w:rFonts w:hint="eastAsia" w:eastAsia="微软雅黑"/>
          <w:i/>
          <w:iCs/>
          <w:szCs w:val="20"/>
        </w:rPr>
        <w:t>he</w:t>
      </w:r>
      <w:r>
        <w:rPr>
          <w:rFonts w:eastAsia="微软雅黑"/>
          <w:i/>
          <w:iCs/>
          <w:szCs w:val="20"/>
        </w:rPr>
        <w:t>n</w:t>
      </w:r>
      <w:r>
        <w:rPr>
          <w:rFonts w:hint="eastAsia" w:eastAsia="微软雅黑"/>
          <w:i/>
          <w:iCs/>
          <w:szCs w:val="20"/>
        </w:rPr>
        <w:t xml:space="preserve"> application time</w:t>
      </w:r>
      <w:r>
        <w:rPr>
          <w:rFonts w:eastAsia="微软雅黑"/>
          <w:i/>
          <w:iCs/>
          <w:szCs w:val="20"/>
        </w:rPr>
        <w:t xml:space="preserve"> Y</w:t>
      </w:r>
      <w:r>
        <w:rPr>
          <w:rFonts w:hint="eastAsia" w:eastAsia="微软雅黑"/>
          <w:i/>
          <w:iCs/>
          <w:szCs w:val="20"/>
        </w:rPr>
        <w:t xml:space="preserve"> can be </w:t>
      </w:r>
      <w:r>
        <w:rPr>
          <w:rFonts w:eastAsia="微软雅黑"/>
          <w:i/>
          <w:iCs/>
          <w:szCs w:val="20"/>
        </w:rPr>
        <w:t>determined</w:t>
      </w:r>
      <w:r>
        <w:rPr>
          <w:rFonts w:hint="eastAsia" w:eastAsia="微软雅黑"/>
          <w:i/>
          <w:iCs/>
          <w:szCs w:val="20"/>
        </w:rPr>
        <w:t xml:space="preserve"> by TDRA field in DCI</w:t>
      </w:r>
      <w:r>
        <w:rPr>
          <w:rFonts w:eastAsia="微软雅黑"/>
          <w:i/>
          <w:iCs/>
          <w:szCs w:val="20"/>
        </w:rPr>
        <w:t>.</w:t>
      </w:r>
    </w:p>
    <w:p>
      <w:pPr>
        <w:pStyle w:val="109"/>
        <w:numPr>
          <w:ilvl w:val="0"/>
          <w:numId w:val="8"/>
        </w:numPr>
        <w:snapToGrid w:val="0"/>
        <w:spacing w:before="60" w:beforeLines="25" w:after="60" w:afterLines="25" w:line="300" w:lineRule="auto"/>
        <w:ind w:left="400" w:firstLineChars="0"/>
        <w:jc w:val="both"/>
        <w:rPr>
          <w:rFonts w:eastAsia="微软雅黑"/>
          <w:i/>
          <w:iCs/>
          <w:szCs w:val="20"/>
        </w:rPr>
      </w:pPr>
      <w:r>
        <w:rPr>
          <w:rFonts w:hint="eastAsia" w:eastAsia="微软雅黑"/>
          <w:i/>
          <w:iCs/>
          <w:szCs w:val="20"/>
        </w:rPr>
        <w:t>On Rel-17 unified TCI framework, Rel-15/16 default beam/power control mechanism for PDSCH/PUCCH/SRS is NOT supported</w:t>
      </w:r>
      <w:r>
        <w:rPr>
          <w:rFonts w:eastAsia="微软雅黑"/>
          <w:i/>
          <w:iCs/>
          <w:szCs w:val="20"/>
        </w:rPr>
        <w:t>.</w:t>
      </w:r>
      <w:r>
        <w:rPr>
          <w:rFonts w:hint="eastAsia" w:eastAsia="微软雅黑"/>
          <w:i/>
          <w:iCs/>
          <w:szCs w:val="20"/>
        </w:rPr>
        <w:t xml:space="preserve"> </w:t>
      </w:r>
    </w:p>
    <w:p>
      <w:pPr>
        <w:widowControl w:val="0"/>
        <w:numPr>
          <w:ilvl w:val="2"/>
          <w:numId w:val="7"/>
        </w:numPr>
        <w:tabs>
          <w:tab w:val="left" w:pos="7938"/>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Remaining issue for TCI indication by DCI without DL assignment</w:t>
      </w:r>
    </w:p>
    <w:p>
      <w:pPr>
        <w:pStyle w:val="109"/>
        <w:snapToGrid w:val="0"/>
        <w:spacing w:before="120" w:after="120" w:afterLines="50" w:line="300" w:lineRule="auto"/>
        <w:ind w:firstLine="0" w:firstLineChars="0"/>
        <w:jc w:val="both"/>
        <w:rPr>
          <w:rFonts w:eastAsia="宋体"/>
        </w:rPr>
      </w:pPr>
      <w:r>
        <w:rPr>
          <w:rFonts w:hint="eastAsia" w:eastAsia="宋体"/>
        </w:rPr>
        <w:t>I</w:t>
      </w:r>
      <w:r>
        <w:rPr>
          <w:rFonts w:eastAsia="宋体"/>
        </w:rPr>
        <w:t>n RAN1#104b-e, the</w:t>
      </w:r>
      <w:r>
        <w:t xml:space="preserve"> following agreement </w:t>
      </w:r>
      <w:r>
        <w:rPr>
          <w:rFonts w:hint="eastAsia" w:eastAsia="宋体"/>
        </w:rPr>
        <w:t>was</w:t>
      </w:r>
      <w:r>
        <w:t xml:space="preserve"> reached</w:t>
      </w:r>
      <w:r>
        <w:rPr>
          <w:rFonts w:hint="eastAsia" w:eastAsia="宋体"/>
        </w:rPr>
        <w:t xml:space="preserve"> for</w:t>
      </w:r>
      <w:r>
        <w:rPr>
          <w:rFonts w:eastAsia="宋体"/>
        </w:rPr>
        <w:t xml:space="preserve"> the </w:t>
      </w:r>
      <w:r>
        <w:t>TCI indication by DCI without DL assignment.</w:t>
      </w:r>
      <w:r>
        <w:rPr>
          <w:rFonts w:hint="eastAsia" w:eastAsia="宋体"/>
        </w:rPr>
        <w:t xml:space="preserve"> </w:t>
      </w:r>
      <w:r>
        <w:rPr>
          <w:rFonts w:eastAsia="宋体"/>
        </w:rPr>
        <w:t>In this subsection, the clarification for timeline corresponding to type-1 HARQ-ACK codebook is provided herein</w:t>
      </w:r>
      <w:r>
        <w:rPr>
          <w:rFonts w:hint="eastAsia" w:eastAsia="宋体"/>
        </w:rPr>
        <w:t>.</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trPr>
        <w:tc>
          <w:tcPr>
            <w:tcW w:w="9350" w:type="dxa"/>
          </w:tcPr>
          <w:p>
            <w:pPr>
              <w:snapToGrid w:val="0"/>
              <w:spacing w:after="0"/>
              <w:jc w:val="both"/>
              <w:rPr>
                <w:rFonts w:eastAsia="宋体" w:cs="Times"/>
                <w:b/>
                <w:bCs/>
                <w:szCs w:val="20"/>
                <w:u w:val="single"/>
              </w:rPr>
            </w:pPr>
            <w:r>
              <w:rPr>
                <w:rFonts w:cs="Times"/>
                <w:b/>
                <w:bCs/>
                <w:szCs w:val="20"/>
                <w:u w:val="single"/>
              </w:rPr>
              <w:t>Agreement</w:t>
            </w:r>
            <w:r>
              <w:rPr>
                <w:rFonts w:hint="eastAsia" w:eastAsia="宋体" w:cs="Times"/>
                <w:b/>
                <w:bCs/>
                <w:szCs w:val="20"/>
                <w:u w:val="single"/>
              </w:rPr>
              <w:t xml:space="preserve"> (RAN1#104be)</w:t>
            </w:r>
          </w:p>
          <w:p>
            <w:pPr>
              <w:snapToGrid w:val="0"/>
              <w:spacing w:after="0" w:line="240" w:lineRule="auto"/>
              <w:rPr>
                <w:rFonts w:ascii="Times" w:hAnsi="Times" w:eastAsia="Batang" w:cs="Times"/>
                <w:szCs w:val="20"/>
                <w:lang w:val="en-GB" w:eastAsia="en-US"/>
              </w:rPr>
            </w:pPr>
            <w:r>
              <w:rPr>
                <w:rFonts w:ascii="Times" w:hAnsi="Times" w:eastAsia="Batang" w:cs="Times"/>
                <w:szCs w:val="20"/>
                <w:lang w:val="en-GB" w:eastAsia="en-US"/>
              </w:rPr>
              <w:t>For beam indication with Rel-17 unified TCI, support DCI format 1_1/1_2 without DL assignment:</w:t>
            </w:r>
          </w:p>
          <w:p>
            <w:pPr>
              <w:numPr>
                <w:ilvl w:val="0"/>
                <w:numId w:val="15"/>
              </w:numPr>
              <w:snapToGrid w:val="0"/>
              <w:spacing w:after="0"/>
              <w:jc w:val="both"/>
              <w:rPr>
                <w:rFonts w:ascii="Times" w:hAnsi="Times" w:eastAsia="Batang" w:cs="Times"/>
                <w:szCs w:val="20"/>
                <w:lang w:val="en-GB"/>
              </w:rPr>
            </w:pPr>
            <w:r>
              <w:rPr>
                <w:rFonts w:ascii="Times" w:hAnsi="Times" w:eastAsia="Batang" w:cs="Times"/>
                <w:szCs w:val="20"/>
                <w:lang w:val="en-GB"/>
              </w:rPr>
              <w:t>Use ACK/NACK mechanism analogous to that for SPS PDSCH release with both type-1 and type-2 HARQ-ACK codebook:</w:t>
            </w:r>
          </w:p>
          <w:p>
            <w:pPr>
              <w:numPr>
                <w:ilvl w:val="1"/>
                <w:numId w:val="15"/>
              </w:numPr>
              <w:snapToGrid w:val="0"/>
              <w:spacing w:after="0"/>
              <w:jc w:val="both"/>
              <w:rPr>
                <w:rFonts w:ascii="Times" w:hAnsi="Times" w:eastAsia="Batang" w:cs="Times"/>
                <w:szCs w:val="20"/>
                <w:lang w:val="en-GB"/>
              </w:rPr>
            </w:pPr>
            <w:r>
              <w:rPr>
                <w:rFonts w:ascii="Times" w:hAnsi="Times" w:eastAsia="Batang" w:cs="Times"/>
                <w:szCs w:val="20"/>
                <w:lang w:val="en-GB" w:eastAsia="en-US"/>
              </w:rPr>
              <w:t xml:space="preserve">Upon a successful reception of the beam indication DCI, the UE reports an ACK </w:t>
            </w:r>
          </w:p>
          <w:p>
            <w:pPr>
              <w:numPr>
                <w:ilvl w:val="2"/>
                <w:numId w:val="15"/>
              </w:numPr>
              <w:snapToGrid w:val="0"/>
              <w:spacing w:after="0"/>
              <w:jc w:val="both"/>
              <w:rPr>
                <w:rFonts w:ascii="Times" w:hAnsi="Times" w:eastAsia="Batang" w:cs="Times"/>
                <w:szCs w:val="20"/>
                <w:lang w:val="en-GB" w:eastAsia="en-US"/>
              </w:rPr>
            </w:pPr>
            <w:r>
              <w:rPr>
                <w:rFonts w:ascii="Times" w:hAnsi="Times" w:eastAsia="Batang" w:cs="Times"/>
                <w:szCs w:val="20"/>
                <w:lang w:val="en-GB" w:eastAsia="en-US"/>
              </w:rPr>
              <w:t>Note that upon a failed reception of the beam indication DCI, a NACK can be reported.</w:t>
            </w:r>
          </w:p>
          <w:p>
            <w:pPr>
              <w:numPr>
                <w:ilvl w:val="2"/>
                <w:numId w:val="15"/>
              </w:numPr>
              <w:snapToGrid w:val="0"/>
              <w:spacing w:after="0"/>
              <w:jc w:val="both"/>
              <w:rPr>
                <w:rFonts w:ascii="Times" w:hAnsi="Times" w:eastAsia="Batang" w:cs="Times"/>
                <w:szCs w:val="20"/>
                <w:lang w:val="en-GB" w:eastAsia="en-US"/>
              </w:rPr>
            </w:pPr>
            <w:r>
              <w:rPr>
                <w:rFonts w:ascii="Times" w:hAnsi="Times" w:eastAsia="Batang" w:cs="Times"/>
                <w:szCs w:val="20"/>
                <w:lang w:val="en-GB" w:eastAsia="en-US"/>
              </w:rPr>
              <w:t xml:space="preserve">For type-1 HARQ-ACK codebook, </w:t>
            </w:r>
            <w:r>
              <w:rPr>
                <w:rFonts w:ascii="Times" w:hAnsi="Times" w:eastAsia="Batang" w:cs="Times"/>
                <w:szCs w:val="20"/>
                <w:highlight w:val="yellow"/>
                <w:lang w:val="en-GB" w:eastAsia="en-US"/>
              </w:rPr>
              <w:t>a location for the ACK information in the HARQ-ACK codebook is determined based on a virtual PDSCH indicated by the TDRA field in the beam indication DCI</w:t>
            </w:r>
            <w:r>
              <w:rPr>
                <w:rFonts w:ascii="Times" w:hAnsi="Times" w:eastAsia="Batang" w:cs="Times"/>
                <w:szCs w:val="20"/>
                <w:lang w:val="en-GB" w:eastAsia="en-US"/>
              </w:rPr>
              <w:t>, based on the time domain allocation list configured for PDSCH</w:t>
            </w:r>
          </w:p>
          <w:p>
            <w:pPr>
              <w:numPr>
                <w:ilvl w:val="2"/>
                <w:numId w:val="15"/>
              </w:numPr>
              <w:snapToGrid w:val="0"/>
              <w:spacing w:after="0"/>
              <w:jc w:val="both"/>
              <w:rPr>
                <w:rFonts w:ascii="Times" w:hAnsi="Times" w:eastAsia="Batang" w:cs="Times"/>
                <w:szCs w:val="20"/>
                <w:lang w:val="en-GB" w:eastAsia="en-US"/>
              </w:rPr>
            </w:pPr>
            <w:r>
              <w:rPr>
                <w:rFonts w:ascii="Times" w:hAnsi="Times" w:eastAsia="Batang" w:cs="Times"/>
                <w:szCs w:val="20"/>
                <w:lang w:val="en-GB" w:eastAsia="en-US"/>
              </w:rPr>
              <w:t xml:space="preserve">For type-2 HARQ-ACK codebook, a location for the ACK information in the HARQ-ACK codebook is determined according to the same rule for SPS release </w:t>
            </w:r>
          </w:p>
          <w:p>
            <w:pPr>
              <w:snapToGrid w:val="0"/>
              <w:spacing w:after="0"/>
              <w:ind w:left="1440"/>
              <w:jc w:val="both"/>
              <w:rPr>
                <w:rFonts w:ascii="Times" w:hAnsi="Times" w:eastAsia="Batang" w:cs="Times"/>
                <w:szCs w:val="20"/>
                <w:lang w:val="en-GB" w:eastAsia="en-US"/>
              </w:rPr>
            </w:pPr>
            <w:r>
              <w:rPr>
                <w:rFonts w:ascii="Times" w:hAnsi="Times" w:eastAsia="Batang" w:cs="Times"/>
                <w:szCs w:val="20"/>
                <w:highlight w:val="yellow"/>
                <w:lang w:val="en-GB" w:eastAsia="en-US"/>
              </w:rPr>
              <w:t xml:space="preserve">The ACK is reported in a PUCCH </w:t>
            </w:r>
            <w:r>
              <w:rPr>
                <w:rFonts w:ascii="Times" w:hAnsi="Times" w:eastAsia="Batang" w:cs="Times"/>
                <w:i/>
                <w:iCs/>
                <w:szCs w:val="20"/>
                <w:highlight w:val="yellow"/>
                <w:lang w:val="en-GB" w:eastAsia="en-US"/>
              </w:rPr>
              <w:t xml:space="preserve">k </w:t>
            </w:r>
            <w:r>
              <w:rPr>
                <w:rFonts w:ascii="Times" w:hAnsi="Times" w:eastAsia="Batang" w:cs="Times"/>
                <w:szCs w:val="20"/>
                <w:highlight w:val="yellow"/>
                <w:lang w:val="en-GB" w:eastAsia="en-US"/>
              </w:rPr>
              <w:t xml:space="preserve">slots after the end of the PDCCH reception where </w:t>
            </w:r>
            <w:r>
              <w:rPr>
                <w:rFonts w:ascii="Times" w:hAnsi="Times" w:eastAsia="Batang" w:cs="Times"/>
                <w:i/>
                <w:iCs/>
                <w:szCs w:val="20"/>
                <w:highlight w:val="yellow"/>
                <w:lang w:val="en-GB" w:eastAsia="en-US"/>
              </w:rPr>
              <w:t>k</w:t>
            </w:r>
            <w:r>
              <w:rPr>
                <w:rFonts w:ascii="Times" w:hAnsi="Times" w:eastAsia="Batang" w:cs="Times"/>
                <w:szCs w:val="20"/>
                <w:highlight w:val="yellow"/>
                <w:lang w:val="en-GB" w:eastAsia="en-US"/>
              </w:rPr>
              <w:t xml:space="preserve"> is indicated by the PDSCH-to-HARQ_feedback timing indicator field in the DCI format</w:t>
            </w:r>
            <w:r>
              <w:rPr>
                <w:rFonts w:ascii="Times" w:hAnsi="Times" w:eastAsia="Batang" w:cs="Times"/>
                <w:szCs w:val="20"/>
                <w:lang w:val="en-GB" w:eastAsia="en-US"/>
              </w:rPr>
              <w:t xml:space="preserve">, or provided </w:t>
            </w:r>
            <w:r>
              <w:rPr>
                <w:rFonts w:ascii="Times" w:hAnsi="Times" w:eastAsia="Batang" w:cs="Times"/>
                <w:i/>
                <w:iCs/>
                <w:szCs w:val="20"/>
                <w:lang w:val="en-GB" w:eastAsia="en-US"/>
              </w:rPr>
              <w:t>dl-DataToUL-ACK</w:t>
            </w:r>
            <w:r>
              <w:rPr>
                <w:rFonts w:ascii="Times" w:hAnsi="Times" w:eastAsia="Batang" w:cs="Times"/>
                <w:szCs w:val="20"/>
                <w:lang w:val="en-GB" w:eastAsia="en-US"/>
              </w:rPr>
              <w:t xml:space="preserve"> or </w:t>
            </w:r>
            <w:r>
              <w:rPr>
                <w:rFonts w:ascii="Times" w:hAnsi="Times" w:eastAsia="Batang" w:cs="Times"/>
                <w:i/>
                <w:iCs/>
                <w:szCs w:val="20"/>
                <w:lang w:val="en-GB" w:eastAsia="en-US"/>
              </w:rPr>
              <w:t xml:space="preserve">dl-DataToUL-ACK-ForDCI-Format1-2-r16 </w:t>
            </w:r>
            <w:r>
              <w:rPr>
                <w:rFonts w:ascii="Times" w:hAnsi="Times" w:eastAsia="Batang" w:cs="Times"/>
                <w:szCs w:val="20"/>
                <w:lang w:val="en-GB" w:eastAsia="en-US"/>
              </w:rPr>
              <w:t>if the PDSCH-to-HARQ_feedback timing indicator field is not present in the DCI</w:t>
            </w:r>
          </w:p>
          <w:p>
            <w:pPr>
              <w:numPr>
                <w:ilvl w:val="0"/>
                <w:numId w:val="15"/>
              </w:numPr>
              <w:snapToGrid w:val="0"/>
              <w:spacing w:after="0"/>
              <w:jc w:val="both"/>
              <w:rPr>
                <w:szCs w:val="18"/>
              </w:rPr>
            </w:pPr>
            <w:r>
              <w:rPr>
                <w:szCs w:val="18"/>
              </w:rPr>
              <w:t>…</w:t>
            </w:r>
          </w:p>
        </w:tc>
      </w:tr>
    </w:tbl>
    <w:p>
      <w:pPr>
        <w:pStyle w:val="109"/>
        <w:snapToGrid w:val="0"/>
        <w:spacing w:before="120" w:after="120" w:afterLines="50" w:line="300" w:lineRule="auto"/>
        <w:ind w:firstLine="0" w:firstLineChars="0"/>
        <w:jc w:val="both"/>
        <w:rPr>
          <w:rFonts w:eastAsia="宋体"/>
        </w:rPr>
      </w:pPr>
      <w:r>
        <w:rPr>
          <w:rFonts w:eastAsia="宋体"/>
        </w:rPr>
        <w:t>F</w:t>
      </w:r>
      <w:r>
        <w:rPr>
          <w:rFonts w:eastAsia="微软雅黑"/>
          <w:szCs w:val="20"/>
        </w:rPr>
        <w:t>or semi-static HARQ-ACK codebook, the virtual PDSCH should be assumed in the same slot as the DCI without DL assignment, and the time-domain allocation of the virtual PDSCH within the given slot is determined according to the SLIV of indicated TDRA field, rather than SLIV+K0 in the TDRA. It is the same as legacy mechanism for SPS PDSCH release.</w:t>
      </w:r>
      <w:r>
        <w:rPr>
          <w:rFonts w:eastAsia="宋体"/>
        </w:rPr>
        <w:t xml:space="preserve"> For </w:t>
      </w:r>
      <w:r>
        <w:rPr>
          <w:rFonts w:hint="eastAsia" w:eastAsia="宋体"/>
        </w:rPr>
        <w:t xml:space="preserve">the </w:t>
      </w:r>
      <w:r>
        <w:rPr>
          <w:rFonts w:eastAsia="宋体"/>
        </w:rPr>
        <w:t xml:space="preserve">sake of presentation, one example for </w:t>
      </w:r>
      <w:r>
        <w:rPr>
          <w:rFonts w:hint="eastAsia" w:eastAsia="宋体"/>
        </w:rPr>
        <w:t xml:space="preserve">the agreed method </w:t>
      </w:r>
      <w:r>
        <w:rPr>
          <w:rFonts w:eastAsia="宋体"/>
        </w:rPr>
        <w:t xml:space="preserve">considering ACK mechanism directly in response to DCI is shown </w:t>
      </w:r>
      <w:r>
        <w:rPr>
          <w:rFonts w:hint="eastAsia" w:eastAsia="宋体"/>
        </w:rPr>
        <w:t>in Figure 1</w:t>
      </w:r>
      <w:r>
        <w:rPr>
          <w:rFonts w:eastAsia="宋体"/>
        </w:rPr>
        <w:t>.</w:t>
      </w:r>
    </w:p>
    <w:p>
      <w:pPr>
        <w:pStyle w:val="109"/>
        <w:numPr>
          <w:ilvl w:val="0"/>
          <w:numId w:val="8"/>
        </w:numPr>
        <w:snapToGrid w:val="0"/>
        <w:spacing w:before="120" w:after="120" w:afterLines="50" w:line="300" w:lineRule="auto"/>
        <w:ind w:left="400" w:hanging="400" w:firstLineChars="0"/>
        <w:jc w:val="both"/>
        <w:rPr>
          <w:rFonts w:eastAsia="宋体"/>
        </w:rPr>
      </w:pPr>
      <w:r>
        <w:rPr>
          <w:rFonts w:eastAsia="宋体"/>
        </w:rPr>
        <w:t xml:space="preserve">Note that, if the virtual PDSCH is determined according to </w:t>
      </w:r>
      <w:r>
        <w:rPr>
          <w:rFonts w:eastAsia="微软雅黑"/>
          <w:szCs w:val="20"/>
        </w:rPr>
        <w:t>SLIV+K0 in the TDRA (which may be misled by the first highlighted part in above agreement), and then based on the second highlighted part that ACK is reported in a PUCCH k slots after the end of the PDCCH reception where k is indicated by the PDSCH-to-HARQ_feedback timing indicator field in the DCI format, for HARQ-ACK codebook determination, K1 for determining candidate PDSCH reception becomes ‘PDSCH-to-HARQ_feedback timing – K0’, which may be out of candidate list for semi-static HARQ-ACK codebook generation (i.e.,</w:t>
      </w:r>
      <w:r>
        <w:rPr>
          <w:rFonts w:eastAsia="微软雅黑"/>
          <w:i/>
          <w:iCs/>
          <w:szCs w:val="20"/>
        </w:rPr>
        <w:t xml:space="preserve"> dl-DataToUL-ACK</w:t>
      </w:r>
      <w:r>
        <w:rPr>
          <w:rFonts w:eastAsia="微软雅黑"/>
          <w:szCs w:val="20"/>
        </w:rPr>
        <w:t xml:space="preserve">, </w:t>
      </w:r>
      <w:r>
        <w:rPr>
          <w:rFonts w:eastAsia="微软雅黑"/>
          <w:i/>
          <w:iCs/>
          <w:szCs w:val="20"/>
        </w:rPr>
        <w:t>dl-DataToUL-ACK-ForDCIFormat1_2</w:t>
      </w:r>
      <w:r>
        <w:rPr>
          <w:rFonts w:eastAsia="微软雅黑"/>
          <w:szCs w:val="20"/>
        </w:rPr>
        <w:t>) as highlighted as follows</w:t>
      </w:r>
      <w:r>
        <w:rPr>
          <w:rFonts w:hint="eastAsia" w:eastAsia="宋体"/>
        </w:rPr>
        <w:t>.</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350" w:type="dxa"/>
          </w:tcPr>
          <w:p>
            <w:pPr>
              <w:pStyle w:val="5"/>
              <w:numPr>
                <w:ilvl w:val="0"/>
                <w:numId w:val="0"/>
              </w:numPr>
              <w:rPr>
                <w:b/>
                <w:sz w:val="22"/>
                <w:szCs w:val="20"/>
              </w:rPr>
            </w:pPr>
            <w:bookmarkStart w:id="0" w:name="_Toc29894840"/>
            <w:bookmarkStart w:id="1" w:name="_Ref505248562"/>
            <w:bookmarkStart w:id="2" w:name="_Toc36498168"/>
            <w:bookmarkStart w:id="3" w:name="_Toc29899139"/>
            <w:bookmarkStart w:id="4" w:name="_Toc20311582"/>
            <w:bookmarkStart w:id="5" w:name="_Toc12021470"/>
            <w:bookmarkStart w:id="6" w:name="_Toc45699194"/>
            <w:bookmarkStart w:id="7" w:name="_Toc74762933"/>
            <w:bookmarkStart w:id="8" w:name="_Toc29899557"/>
            <w:bookmarkStart w:id="9" w:name="_Toc26719407"/>
            <w:bookmarkStart w:id="10" w:name="_Toc29917294"/>
            <w:r>
              <w:rPr>
                <w:b/>
                <w:sz w:val="22"/>
                <w:szCs w:val="20"/>
              </w:rPr>
              <w:t>9.1.2.1</w:t>
            </w:r>
            <w:r>
              <w:rPr>
                <w:b/>
                <w:sz w:val="22"/>
                <w:szCs w:val="20"/>
              </w:rPr>
              <w:tab/>
            </w:r>
            <w:r>
              <w:rPr>
                <w:b/>
                <w:sz w:val="22"/>
                <w:szCs w:val="20"/>
              </w:rPr>
              <w:t>Type-1 HARQ-ACK codebook in physical uplink control channel</w:t>
            </w:r>
            <w:bookmarkEnd w:id="0"/>
            <w:bookmarkEnd w:id="1"/>
            <w:bookmarkEnd w:id="2"/>
            <w:bookmarkEnd w:id="3"/>
            <w:bookmarkEnd w:id="4"/>
            <w:bookmarkEnd w:id="5"/>
            <w:bookmarkEnd w:id="6"/>
            <w:bookmarkEnd w:id="7"/>
            <w:bookmarkEnd w:id="8"/>
            <w:bookmarkEnd w:id="9"/>
            <w:bookmarkEnd w:id="10"/>
          </w:p>
          <w:p>
            <w:pPr>
              <w:snapToGrid w:val="0"/>
              <w:spacing w:after="60"/>
              <w:rPr>
                <w:rFonts w:cs="Arial"/>
                <w:szCs w:val="20"/>
              </w:rPr>
            </w:pPr>
            <w:r>
              <w:rPr>
                <w:szCs w:val="20"/>
              </w:rPr>
              <w:t xml:space="preserve">For a serving cell </w:t>
            </w:r>
            <m:oMath>
              <m:r>
                <w:rPr>
                  <w:rFonts w:ascii="Cambria Math" w:hAnsi="Cambria Math"/>
                  <w:szCs w:val="20"/>
                </w:rPr>
                <m:t>c</m:t>
              </m:r>
            </m:oMath>
            <w:r>
              <w:rPr>
                <w:szCs w:val="20"/>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ctrlPr>
                    <w:rPr>
                      <w:rFonts w:ascii="Cambria Math" w:hAnsi="Cambria Math"/>
                      <w:i/>
                      <w:szCs w:val="20"/>
                    </w:rPr>
                  </m:ctrlPr>
                </m:e>
                <m:sub>
                  <m:r>
                    <w:rPr>
                      <w:rFonts w:ascii="Cambria Math" w:hAnsi="Cambria Math"/>
                      <w:szCs w:val="20"/>
                    </w:rPr>
                    <m:t>A,c</m:t>
                  </m:r>
                  <m:ctrlPr>
                    <w:rPr>
                      <w:rFonts w:ascii="Cambria Math" w:hAnsi="Cambria Math"/>
                      <w:i/>
                      <w:szCs w:val="20"/>
                    </w:rPr>
                  </m:ctrlPr>
                </m:sub>
              </m:sSub>
            </m:oMath>
            <w:r>
              <w:rPr>
                <w:rFonts w:cs="Arial"/>
                <w:szCs w:val="20"/>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ctrlPr>
                    <w:rPr>
                      <w:rFonts w:ascii="Cambria Math" w:hAnsi="Cambria Math"/>
                      <w:i/>
                      <w:szCs w:val="20"/>
                    </w:rPr>
                  </m:ctrlPr>
                </m:e>
                <m:sub>
                  <m:r>
                    <w:rPr>
                      <w:rFonts w:ascii="Cambria Math" w:hAnsi="Cambria Math"/>
                      <w:szCs w:val="20"/>
                    </w:rPr>
                    <m:t>U</m:t>
                  </m:r>
                  <m:ctrlPr>
                    <w:rPr>
                      <w:rFonts w:ascii="Cambria Math" w:hAnsi="Cambria Math"/>
                      <w:i/>
                      <w:szCs w:val="20"/>
                    </w:rPr>
                  </m:ctrlPr>
                </m:sub>
              </m:sSub>
            </m:oMath>
            <w:r>
              <w:rPr>
                <w:rFonts w:cs="Arial"/>
                <w:szCs w:val="20"/>
              </w:rPr>
              <w:t xml:space="preserve">. If </w:t>
            </w:r>
            <w:r>
              <w:rPr>
                <w:szCs w:val="20"/>
              </w:rPr>
              <w:t xml:space="preserve">serving cell </w:t>
            </w:r>
            <m:oMath>
              <m:r>
                <w:rPr>
                  <w:rFonts w:ascii="Cambria Math" w:hAnsi="Cambria Math"/>
                  <w:szCs w:val="20"/>
                </w:rPr>
                <m:t>c</m:t>
              </m:r>
            </m:oMath>
            <w:r>
              <w:rPr>
                <w:szCs w:val="20"/>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ctrlPr>
                    <w:rPr>
                      <w:rFonts w:ascii="Cambria Math" w:hAnsi="Cambria Math"/>
                      <w:i/>
                      <w:szCs w:val="20"/>
                    </w:rPr>
                  </m:ctrlPr>
                </m:e>
                <m:sub>
                  <m:r>
                    <w:rPr>
                      <w:rFonts w:ascii="Cambria Math" w:hAnsi="Cambria Math"/>
                      <w:szCs w:val="20"/>
                    </w:rPr>
                    <m:t>A,c</m:t>
                  </m:r>
                  <m:ctrlPr>
                    <w:rPr>
                      <w:rFonts w:ascii="Cambria Math" w:hAnsi="Cambria Math"/>
                      <w:i/>
                      <w:szCs w:val="20"/>
                    </w:rPr>
                  </m:ctrlPr>
                </m:sub>
              </m:sSub>
            </m:oMath>
            <w:r>
              <w:rPr>
                <w:rFonts w:cs="Arial"/>
                <w:szCs w:val="20"/>
              </w:rPr>
              <w:t xml:space="preserve"> occasions for candidate PDSCH receptions</w:t>
            </w:r>
            <w:r>
              <w:rPr>
                <w:szCs w:val="20"/>
              </w:rPr>
              <w:t xml:space="preserve"> a DL BWP provided by </w:t>
            </w:r>
            <w:r>
              <w:rPr>
                <w:i/>
                <w:iCs/>
                <w:szCs w:val="20"/>
              </w:rPr>
              <w:t>firstActiveDownlinkBWP</w:t>
            </w:r>
            <w:r>
              <w:rPr>
                <w:i/>
                <w:szCs w:val="20"/>
              </w:rPr>
              <w:t>-Id</w:t>
            </w:r>
            <w:r>
              <w:rPr>
                <w:rFonts w:cs="Arial"/>
                <w:szCs w:val="20"/>
              </w:rPr>
              <w:t>. The determination is based:</w:t>
            </w:r>
          </w:p>
          <w:p>
            <w:pPr>
              <w:pStyle w:val="47"/>
              <w:snapToGrid w:val="0"/>
              <w:spacing w:after="60"/>
              <w:contextualSpacing w:val="0"/>
            </w:pPr>
            <w:r>
              <w:rPr>
                <w:lang w:eastAsia="zh-CN"/>
              </w:rPr>
              <w:t>a)</w:t>
            </w:r>
            <w:r>
              <w:rPr>
                <w:lang w:eastAsia="zh-CN"/>
              </w:rPr>
              <w:tab/>
            </w:r>
            <w:r>
              <w:rPr>
                <w:lang w:eastAsia="zh-CN"/>
              </w:rPr>
              <w:t xml:space="preserve">on a set of slot timing values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1</m:t>
                  </m:r>
                  <m:ctrlPr>
                    <w:rPr>
                      <w:rFonts w:ascii="Cambria Math" w:hAnsi="Cambria Math"/>
                      <w:i/>
                    </w:rPr>
                  </m:ctrlPr>
                </m:sub>
              </m:sSub>
            </m:oMath>
            <w:r>
              <w:rPr>
                <w:lang w:eastAsia="zh-CN"/>
              </w:rPr>
              <w:t xml:space="preserve"> associated with the active </w:t>
            </w:r>
            <w:r>
              <w:rPr>
                <w:lang w:val="en-US" w:eastAsia="zh-CN"/>
              </w:rPr>
              <w:t>U</w:t>
            </w:r>
            <w:r>
              <w:rPr>
                <w:lang w:eastAsia="zh-CN"/>
              </w:rPr>
              <w:t>L BWP</w:t>
            </w:r>
          </w:p>
          <w:p>
            <w:pPr>
              <w:pStyle w:val="119"/>
              <w:snapToGrid w:val="0"/>
              <w:spacing w:after="60"/>
              <w:rPr>
                <w:lang w:val="en-US"/>
              </w:rPr>
            </w:pPr>
            <w:r>
              <w:rPr>
                <w:lang w:val="en-US" w:eastAsia="zh-CN"/>
              </w:rPr>
              <w:t>a)</w:t>
            </w:r>
            <w:r>
              <w:rPr>
                <w:lang w:val="en-US" w:eastAsia="zh-CN"/>
              </w:rPr>
              <w:tab/>
            </w:r>
            <w:r>
              <w:rPr>
                <w:lang w:val="en-US" w:eastAsia="zh-CN"/>
              </w:rPr>
              <w:t xml:space="preserve">If the UE is configured to monitor PDCCH for DCI format 1_0 and is not configured to monitor PDCCH for either DCI format 1_1 or DCI format 1_2 on serving cell </w:t>
            </w:r>
            <m:oMath>
              <m:r>
                <w:rPr>
                  <w:rFonts w:ascii="Cambria Math" w:hAnsi="Cambria Math"/>
                </w:rPr>
                <m:t>c</m:t>
              </m:r>
            </m:oMath>
            <w:r>
              <w:rPr>
                <w:lang w:val="en-US" w:eastAsia="zh-CN"/>
              </w:rPr>
              <w:t xml:space="preserve">, </w:t>
            </w:r>
            <m:oMath>
              <m:sSub>
                <m:sSubPr>
                  <m:ctrlPr>
                    <w:rPr>
                      <w:rFonts w:ascii="Cambria Math" w:hAnsi="Cambria Math"/>
                      <w:i/>
                      <w:highlight w:val="yellow"/>
                    </w:rPr>
                  </m:ctrlPr>
                </m:sSubPr>
                <m:e>
                  <m:r>
                    <w:rPr>
                      <w:rFonts w:ascii="Cambria Math" w:hAnsi="Cambria Math"/>
                      <w:highlight w:val="yellow"/>
                    </w:rPr>
                    <m:t>K</m:t>
                  </m:r>
                  <m:ctrlPr>
                    <w:rPr>
                      <w:rFonts w:ascii="Cambria Math" w:hAnsi="Cambria Math"/>
                      <w:i/>
                      <w:highlight w:val="yellow"/>
                    </w:rPr>
                  </m:ctrlPr>
                </m:e>
                <m:sub>
                  <m:r>
                    <w:rPr>
                      <w:rFonts w:ascii="Cambria Math" w:hAnsi="Cambria Math"/>
                      <w:highlight w:val="yellow"/>
                      <w:lang w:val="en-US"/>
                    </w:rPr>
                    <m:t>1</m:t>
                  </m:r>
                  <m:ctrlPr>
                    <w:rPr>
                      <w:rFonts w:ascii="Cambria Math" w:hAnsi="Cambria Math"/>
                      <w:i/>
                      <w:highlight w:val="yellow"/>
                    </w:rPr>
                  </m:ctrlPr>
                </m:sub>
              </m:sSub>
            </m:oMath>
            <w:r>
              <w:rPr>
                <w:highlight w:val="yellow"/>
                <w:lang w:val="en-US" w:eastAsia="zh-CN"/>
              </w:rPr>
              <w:t xml:space="preserve"> is provided by the slot timing values {1, 2, 3, 4, 5, 6, 7, 8}</w:t>
            </w:r>
            <w:r>
              <w:rPr>
                <w:lang w:val="en-US" w:eastAsia="zh-CN"/>
              </w:rPr>
              <w:t xml:space="preserve"> </w:t>
            </w:r>
          </w:p>
          <w:p>
            <w:pPr>
              <w:pStyle w:val="119"/>
              <w:snapToGrid w:val="0"/>
              <w:spacing w:after="60"/>
              <w:rPr>
                <w:lang w:val="en-US" w:eastAsia="zh-CN"/>
              </w:rPr>
            </w:pPr>
            <w:r>
              <w:rPr>
                <w:lang w:val="en-US" w:eastAsia="zh-CN"/>
              </w:rPr>
              <w:t>b)</w:t>
            </w:r>
            <w:r>
              <w:rPr>
                <w:lang w:val="en-US" w:eastAsia="zh-CN"/>
              </w:rPr>
              <w:tab/>
            </w:r>
            <w:r>
              <w:rPr>
                <w:lang w:val="en-US" w:eastAsia="zh-CN"/>
              </w:rPr>
              <w:t xml:space="preserve">If the UE is configured to monitor PDCCH for DCI format 1_1 </w:t>
            </w:r>
            <w:r>
              <w:rPr>
                <w:rFonts w:eastAsia="Gulim"/>
                <w:lang w:val="en-GB"/>
              </w:rPr>
              <w:t xml:space="preserve">and is not configured to monitor PDCCH for DCI format 1_2 </w:t>
            </w:r>
            <w:r>
              <w:rPr>
                <w:lang w:val="en-US" w:eastAsia="zh-CN"/>
              </w:rPr>
              <w:t xml:space="preserve">for serving cell </w:t>
            </w:r>
            <m:oMath>
              <m:r>
                <w:rPr>
                  <w:rFonts w:ascii="Cambria Math" w:hAnsi="Cambria Math"/>
                </w:rPr>
                <m:t>c</m:t>
              </m:r>
            </m:oMath>
            <w:r>
              <w:rPr>
                <w:lang w:val="en-US" w:eastAsia="zh-CN"/>
              </w:rPr>
              <w:t xml:space="preserve">, </w:t>
            </w:r>
            <m:oMath>
              <m:sSub>
                <m:sSubPr>
                  <m:ctrlPr>
                    <w:rPr>
                      <w:rFonts w:ascii="Cambria Math" w:hAnsi="Cambria Math"/>
                      <w:i/>
                      <w:highlight w:val="yellow"/>
                    </w:rPr>
                  </m:ctrlPr>
                </m:sSubPr>
                <m:e>
                  <m:r>
                    <w:rPr>
                      <w:rFonts w:ascii="Cambria Math" w:hAnsi="Cambria Math"/>
                      <w:highlight w:val="yellow"/>
                    </w:rPr>
                    <m:t>K</m:t>
                  </m:r>
                  <m:ctrlPr>
                    <w:rPr>
                      <w:rFonts w:ascii="Cambria Math" w:hAnsi="Cambria Math"/>
                      <w:i/>
                      <w:highlight w:val="yellow"/>
                    </w:rPr>
                  </m:ctrlPr>
                </m:e>
                <m:sub>
                  <m:r>
                    <w:rPr>
                      <w:rFonts w:ascii="Cambria Math" w:hAnsi="Cambria Math"/>
                      <w:highlight w:val="yellow"/>
                      <w:lang w:val="en-US"/>
                    </w:rPr>
                    <m:t>1</m:t>
                  </m:r>
                  <m:ctrlPr>
                    <w:rPr>
                      <w:rFonts w:ascii="Cambria Math" w:hAnsi="Cambria Math"/>
                      <w:i/>
                      <w:highlight w:val="yellow"/>
                    </w:rPr>
                  </m:ctrlPr>
                </m:sub>
              </m:sSub>
            </m:oMath>
            <w:r>
              <w:rPr>
                <w:highlight w:val="yellow"/>
                <w:lang w:val="en-US" w:eastAsia="zh-CN"/>
              </w:rPr>
              <w:t xml:space="preserve"> is provided by </w:t>
            </w:r>
            <w:r>
              <w:rPr>
                <w:i/>
                <w:highlight w:val="yellow"/>
                <w:lang w:val="en-US"/>
              </w:rPr>
              <w:t>dl-DataToUL-ACK</w:t>
            </w:r>
            <w:r>
              <w:rPr>
                <w:i/>
                <w:lang w:val="en-US" w:eastAsia="zh-CN"/>
              </w:rPr>
              <w:t xml:space="preserve"> </w:t>
            </w:r>
          </w:p>
          <w:p>
            <w:pPr>
              <w:pStyle w:val="119"/>
              <w:snapToGrid w:val="0"/>
              <w:spacing w:after="60"/>
              <w:rPr>
                <w:rFonts w:eastAsia="Gulim"/>
                <w:lang w:val="en-US"/>
              </w:rPr>
            </w:pPr>
            <w:r>
              <w:rPr>
                <w:rFonts w:eastAsia="Gulim"/>
                <w:lang w:val="en-GB"/>
              </w:rPr>
              <w:t>c)</w:t>
            </w:r>
            <w:r>
              <w:rPr>
                <w:rFonts w:eastAsia="Gulim"/>
                <w:lang w:val="en-GB"/>
              </w:rPr>
              <w:tab/>
            </w:r>
            <w:r>
              <w:rPr>
                <w:rFonts w:eastAsia="Gulim"/>
                <w:lang w:val="en-GB"/>
              </w:rPr>
              <w:t xml:space="preserve">If the UE is configured to monitor PDCCH for DCI format 1_2 and is not configured to monitor PDCCH for DCI format 1_1 </w:t>
            </w:r>
            <w:r>
              <w:rPr>
                <w:rFonts w:eastAsia="Gulim"/>
                <w:lang w:val="en-US"/>
              </w:rPr>
              <w:t>for</w:t>
            </w:r>
            <w:r>
              <w:rPr>
                <w:rFonts w:eastAsia="Gulim"/>
                <w:lang w:val="en-GB"/>
              </w:rPr>
              <w:t xml:space="preserve"> serving cell </w:t>
            </w:r>
            <m:oMath>
              <m:r>
                <w:rPr>
                  <w:rFonts w:ascii="Cambria Math" w:hAnsi="Cambria Math"/>
                </w:rPr>
                <m:t>c</m:t>
              </m:r>
            </m:oMath>
            <w:r>
              <w:rPr>
                <w:rFonts w:eastAsia="Gulim"/>
                <w:lang w:val="en-GB"/>
              </w:rPr>
              <w:t xml:space="preserve">, </w:t>
            </w:r>
            <m:oMath>
              <m:sSub>
                <m:sSubPr>
                  <m:ctrlPr>
                    <w:rPr>
                      <w:rFonts w:ascii="Cambria Math" w:hAnsi="Cambria Math"/>
                      <w:i/>
                      <w:highlight w:val="yellow"/>
                    </w:rPr>
                  </m:ctrlPr>
                </m:sSubPr>
                <m:e>
                  <m:r>
                    <w:rPr>
                      <w:rFonts w:ascii="Cambria Math" w:hAnsi="Cambria Math"/>
                      <w:highlight w:val="yellow"/>
                    </w:rPr>
                    <m:t>K</m:t>
                  </m:r>
                  <m:ctrlPr>
                    <w:rPr>
                      <w:rFonts w:ascii="Cambria Math" w:hAnsi="Cambria Math"/>
                      <w:i/>
                      <w:highlight w:val="yellow"/>
                    </w:rPr>
                  </m:ctrlPr>
                </m:e>
                <m:sub>
                  <m:r>
                    <w:rPr>
                      <w:rFonts w:ascii="Cambria Math" w:hAnsi="Cambria Math"/>
                      <w:highlight w:val="yellow"/>
                      <w:lang w:val="en-US"/>
                    </w:rPr>
                    <m:t>1</m:t>
                  </m:r>
                  <m:ctrlPr>
                    <w:rPr>
                      <w:rFonts w:ascii="Cambria Math" w:hAnsi="Cambria Math"/>
                      <w:i/>
                      <w:highlight w:val="yellow"/>
                    </w:rPr>
                  </m:ctrlPr>
                </m:sub>
              </m:sSub>
            </m:oMath>
            <w:r>
              <w:rPr>
                <w:rFonts w:eastAsia="Gulim"/>
                <w:highlight w:val="yellow"/>
                <w:lang w:val="en-GB"/>
              </w:rPr>
              <w:t xml:space="preserve"> is provided by </w:t>
            </w:r>
            <w:r>
              <w:rPr>
                <w:rFonts w:eastAsia="Gulim"/>
                <w:i/>
                <w:iCs/>
                <w:highlight w:val="yellow"/>
                <w:lang w:val="en-GB"/>
              </w:rPr>
              <w:t>dl-DataToUL-ACK-ForDCIFormat1_2</w:t>
            </w:r>
            <w:r>
              <w:rPr>
                <w:rFonts w:eastAsia="Gulim"/>
                <w:i/>
                <w:iCs/>
                <w:lang w:val="en-GB"/>
              </w:rPr>
              <w:t xml:space="preserve"> </w:t>
            </w:r>
          </w:p>
          <w:p>
            <w:pPr>
              <w:pStyle w:val="119"/>
              <w:numPr>
                <w:ilvl w:val="255"/>
                <w:numId w:val="0"/>
              </w:numPr>
              <w:snapToGrid w:val="0"/>
              <w:spacing w:after="60"/>
              <w:ind w:left="800" w:leftChars="300" w:hanging="200" w:hangingChars="100"/>
              <w:rPr>
                <w:rFonts w:eastAsia="Gulim"/>
                <w:szCs w:val="18"/>
                <w:lang w:val="en-US"/>
              </w:rPr>
            </w:pPr>
            <w:r>
              <w:rPr>
                <w:rFonts w:eastAsia="Gulim"/>
                <w:lang w:val="en-GB"/>
              </w:rPr>
              <w:t>d)</w:t>
            </w:r>
            <w:r>
              <w:rPr>
                <w:rFonts w:eastAsia="Gulim"/>
                <w:lang w:val="en-GB"/>
              </w:rPr>
              <w:tab/>
            </w:r>
            <w:r>
              <w:rPr>
                <w:rFonts w:eastAsia="Gulim"/>
                <w:lang w:val="en-GB"/>
              </w:rPr>
              <w:t xml:space="preserve">If the UE is configured to monitor PDCCH for DCI format 1_1 and DCI format 1_2 </w:t>
            </w:r>
            <w:r>
              <w:rPr>
                <w:rFonts w:eastAsia="Gulim"/>
                <w:lang w:val="en-US"/>
              </w:rPr>
              <w:t xml:space="preserve">for </w:t>
            </w:r>
            <w:r>
              <w:rPr>
                <w:rFonts w:eastAsia="Gulim"/>
                <w:lang w:val="en-GB"/>
              </w:rPr>
              <w:t xml:space="preserve">serving cell </w:t>
            </w:r>
            <m:oMath>
              <m:r>
                <w:rPr>
                  <w:rFonts w:ascii="Cambria Math" w:hAnsi="Cambria Math"/>
                </w:rPr>
                <m:t>c</m:t>
              </m:r>
            </m:oMath>
            <w:r>
              <w:rPr>
                <w:rFonts w:eastAsia="Gulim"/>
                <w:lang w:val="en-GB"/>
              </w:rPr>
              <w:t xml:space="preserve">, </w:t>
            </w:r>
            <m:oMath>
              <m:sSub>
                <m:sSubPr>
                  <m:ctrlPr>
                    <w:rPr>
                      <w:rFonts w:ascii="Cambria Math" w:hAnsi="Cambria Math"/>
                      <w:i/>
                      <w:highlight w:val="yellow"/>
                    </w:rPr>
                  </m:ctrlPr>
                </m:sSubPr>
                <m:e>
                  <m:r>
                    <w:rPr>
                      <w:rFonts w:ascii="Cambria Math" w:hAnsi="Cambria Math"/>
                      <w:highlight w:val="yellow"/>
                    </w:rPr>
                    <m:t>K</m:t>
                  </m:r>
                  <m:ctrlPr>
                    <w:rPr>
                      <w:rFonts w:ascii="Cambria Math" w:hAnsi="Cambria Math"/>
                      <w:i/>
                      <w:highlight w:val="yellow"/>
                    </w:rPr>
                  </m:ctrlPr>
                </m:e>
                <m:sub>
                  <m:r>
                    <w:rPr>
                      <w:rFonts w:ascii="Cambria Math" w:hAnsi="Cambria Math"/>
                      <w:highlight w:val="yellow"/>
                      <w:lang w:val="en-US"/>
                    </w:rPr>
                    <m:t>1</m:t>
                  </m:r>
                  <m:ctrlPr>
                    <w:rPr>
                      <w:rFonts w:ascii="Cambria Math" w:hAnsi="Cambria Math"/>
                      <w:i/>
                      <w:highlight w:val="yellow"/>
                    </w:rPr>
                  </m:ctrlPr>
                </m:sub>
              </m:sSub>
            </m:oMath>
            <w:r>
              <w:rPr>
                <w:rFonts w:eastAsia="Gulim"/>
                <w:highlight w:val="yellow"/>
                <w:lang w:val="en-GB"/>
              </w:rPr>
              <w:t xml:space="preserve"> is provided by the union of </w:t>
            </w:r>
            <w:r>
              <w:rPr>
                <w:rFonts w:eastAsia="Gulim"/>
                <w:i/>
                <w:iCs/>
                <w:highlight w:val="yellow"/>
                <w:lang w:val="en-GB"/>
              </w:rPr>
              <w:t xml:space="preserve">dl-DataToUL-ACK </w:t>
            </w:r>
            <w:r>
              <w:rPr>
                <w:rFonts w:eastAsia="Gulim"/>
                <w:highlight w:val="yellow"/>
                <w:lang w:val="en-GB"/>
              </w:rPr>
              <w:t>and</w:t>
            </w:r>
            <w:r>
              <w:rPr>
                <w:rFonts w:eastAsia="Gulim"/>
                <w:i/>
                <w:iCs/>
                <w:highlight w:val="yellow"/>
                <w:lang w:val="en-GB"/>
              </w:rPr>
              <w:t xml:space="preserve"> dl-DataToUL-ACK-ForDCIFormat1_2</w:t>
            </w:r>
            <w:r>
              <w:rPr>
                <w:rFonts w:eastAsia="Gulim"/>
                <w:i/>
                <w:iCs/>
                <w:lang w:val="en-GB"/>
              </w:rPr>
              <w:t xml:space="preserve"> </w:t>
            </w:r>
          </w:p>
        </w:tc>
      </w:tr>
    </w:tbl>
    <w:p>
      <w:pPr>
        <w:snapToGrid w:val="0"/>
        <w:spacing w:before="120" w:after="120" w:afterLines="50" w:line="300" w:lineRule="auto"/>
        <w:jc w:val="center"/>
      </w:pPr>
      <w:r>
        <w:object>
          <v:shape id="_x0000_i1025" o:spt="75" type="#_x0000_t75" style="height:168.65pt;width:367.6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rFonts w:eastAsia="宋体"/>
          <w:szCs w:val="20"/>
        </w:rPr>
      </w:pPr>
      <w:r>
        <w:rPr>
          <w:rFonts w:hint="eastAsia"/>
          <w:b/>
          <w:szCs w:val="20"/>
        </w:rPr>
        <w:t>Fig</w:t>
      </w:r>
      <w:r>
        <w:rPr>
          <w:b/>
          <w:szCs w:val="20"/>
        </w:rPr>
        <w:t xml:space="preserve">ure </w:t>
      </w:r>
      <w:r>
        <w:rPr>
          <w:rFonts w:hint="eastAsia" w:eastAsia="宋体"/>
          <w:b/>
          <w:szCs w:val="20"/>
        </w:rPr>
        <w:t>1</w:t>
      </w:r>
      <w:r>
        <w:rPr>
          <w:rFonts w:hint="eastAsia"/>
          <w:szCs w:val="20"/>
        </w:rPr>
        <w:t xml:space="preserve"> </w:t>
      </w:r>
      <w:r>
        <w:rPr>
          <w:szCs w:val="20"/>
        </w:rPr>
        <w:t>A</w:t>
      </w:r>
      <w:r>
        <w:rPr>
          <w:rFonts w:eastAsia="宋体"/>
          <w:szCs w:val="20"/>
        </w:rPr>
        <w:t>pplication time of TCI state indication (i.e., Y symbols after ACK) for semi-static HARQ-ACK codebook, where virtual PDSCH is assumed in the same slot of the DCI by UE</w:t>
      </w:r>
    </w:p>
    <w:p>
      <w:pPr>
        <w:snapToGrid w:val="0"/>
        <w:spacing w:before="120" w:after="120" w:afterLines="50" w:line="300" w:lineRule="auto"/>
        <w:jc w:val="both"/>
      </w:pPr>
      <w:r>
        <w:rPr>
          <w:rFonts w:hint="eastAsia" w:eastAsia="微软雅黑"/>
          <w:b/>
          <w:bCs/>
          <w:i/>
          <w:iCs/>
          <w:szCs w:val="20"/>
        </w:rPr>
        <w:t>Proposal 8:</w:t>
      </w:r>
      <w:r>
        <w:rPr>
          <w:rFonts w:hint="eastAsia" w:eastAsia="微软雅黑"/>
          <w:i/>
          <w:iCs/>
          <w:szCs w:val="20"/>
        </w:rPr>
        <w:t xml:space="preserve"> Regarding TCI indication </w:t>
      </w:r>
      <w:r>
        <w:rPr>
          <w:rFonts w:eastAsia="微软雅黑"/>
          <w:i/>
          <w:iCs/>
          <w:szCs w:val="20"/>
        </w:rPr>
        <w:t xml:space="preserve">by </w:t>
      </w:r>
      <w:r>
        <w:rPr>
          <w:rFonts w:hint="eastAsia" w:eastAsia="微软雅黑"/>
          <w:i/>
          <w:iCs/>
          <w:szCs w:val="20"/>
        </w:rPr>
        <w:t>DCI withou</w:t>
      </w:r>
      <w:r>
        <w:rPr>
          <w:rFonts w:eastAsia="微软雅黑"/>
          <w:i/>
          <w:iCs/>
          <w:szCs w:val="20"/>
        </w:rPr>
        <w:t xml:space="preserve">t </w:t>
      </w:r>
      <w:r>
        <w:rPr>
          <w:rFonts w:hint="eastAsia" w:eastAsia="微软雅黑"/>
          <w:i/>
          <w:iCs/>
          <w:szCs w:val="20"/>
        </w:rPr>
        <w:t>DL assignment,</w:t>
      </w:r>
      <w:r>
        <w:rPr>
          <w:rFonts w:eastAsia="微软雅黑"/>
          <w:i/>
          <w:iCs/>
          <w:szCs w:val="20"/>
        </w:rPr>
        <w:t xml:space="preserve"> for type-1 HARQ-ACK codebook determination,</w:t>
      </w:r>
      <w:r>
        <w:rPr>
          <w:rFonts w:hint="eastAsia" w:eastAsia="微软雅黑"/>
          <w:i/>
          <w:iCs/>
          <w:szCs w:val="20"/>
        </w:rPr>
        <w:t xml:space="preserve"> </w:t>
      </w:r>
      <w:r>
        <w:rPr>
          <w:rFonts w:eastAsia="微软雅黑"/>
          <w:i/>
          <w:iCs/>
          <w:szCs w:val="20"/>
        </w:rPr>
        <w:t>virtual PDSCH is assumed in the same slot of the DCI by UE.</w:t>
      </w:r>
      <w:r>
        <w:rPr>
          <w:rFonts w:hint="eastAsia" w:eastAsia="微软雅黑"/>
          <w:i/>
          <w:iCs/>
          <w:szCs w:val="20"/>
        </w:rPr>
        <w:t xml:space="preserve"> </w:t>
      </w:r>
    </w:p>
    <w:p>
      <w:pPr>
        <w:widowControl w:val="0"/>
        <w:numPr>
          <w:ilvl w:val="2"/>
          <w:numId w:val="7"/>
        </w:numPr>
        <w:tabs>
          <w:tab w:val="left" w:pos="7938"/>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TCI state applied to PUSCH</w:t>
      </w:r>
    </w:p>
    <w:p>
      <w:pPr>
        <w:pStyle w:val="99"/>
        <w:snapToGrid w:val="0"/>
        <w:spacing w:before="60" w:beforeLines="25" w:after="60" w:afterLines="25" w:line="300" w:lineRule="auto"/>
        <w:ind w:firstLine="0" w:firstLineChars="0"/>
        <w:jc w:val="both"/>
        <w:rPr>
          <w:rFonts w:eastAsia="宋体"/>
          <w:szCs w:val="20"/>
        </w:rPr>
      </w:pPr>
      <w:r>
        <w:rPr>
          <w:rFonts w:eastAsia="宋体"/>
          <w:szCs w:val="20"/>
        </w:rPr>
        <w:t xml:space="preserve">When a </w:t>
      </w:r>
      <w:r>
        <w:rPr>
          <w:rFonts w:hint="eastAsia" w:eastAsia="宋体"/>
          <w:szCs w:val="20"/>
        </w:rPr>
        <w:t xml:space="preserve">TCI state is indicated as a unified TCI state, </w:t>
      </w:r>
      <w:r>
        <w:rPr>
          <w:rFonts w:eastAsia="宋体"/>
          <w:szCs w:val="20"/>
        </w:rPr>
        <w:t xml:space="preserve">based on the </w:t>
      </w:r>
      <w:r>
        <w:rPr>
          <w:rFonts w:hint="eastAsia" w:eastAsia="宋体"/>
          <w:szCs w:val="20"/>
        </w:rPr>
        <w:t xml:space="preserve">current </w:t>
      </w:r>
      <w:r>
        <w:rPr>
          <w:rFonts w:eastAsia="宋体"/>
          <w:szCs w:val="20"/>
        </w:rPr>
        <w:t xml:space="preserve">agreement, </w:t>
      </w:r>
      <w:r>
        <w:rPr>
          <w:rFonts w:hint="eastAsia" w:eastAsia="宋体"/>
          <w:szCs w:val="20"/>
        </w:rPr>
        <w:t xml:space="preserve">it </w:t>
      </w:r>
      <w:r>
        <w:rPr>
          <w:rFonts w:eastAsia="宋体"/>
          <w:szCs w:val="20"/>
        </w:rPr>
        <w:t xml:space="preserve">shall </w:t>
      </w:r>
      <w:r>
        <w:rPr>
          <w:rFonts w:hint="eastAsia" w:eastAsia="宋体"/>
          <w:szCs w:val="20"/>
        </w:rPr>
        <w:t>appl</w:t>
      </w:r>
      <w:r>
        <w:rPr>
          <w:rFonts w:eastAsia="宋体"/>
          <w:szCs w:val="20"/>
        </w:rPr>
        <w:t xml:space="preserve">y </w:t>
      </w:r>
      <w:r>
        <w:rPr>
          <w:rFonts w:hint="eastAsia" w:eastAsia="宋体"/>
          <w:szCs w:val="20"/>
        </w:rPr>
        <w:t>to each of the target transmission</w:t>
      </w:r>
      <w:r>
        <w:rPr>
          <w:rFonts w:eastAsia="宋体"/>
          <w:szCs w:val="20"/>
        </w:rPr>
        <w:t>s</w:t>
      </w:r>
      <w:r>
        <w:rPr>
          <w:rFonts w:hint="eastAsia" w:eastAsia="宋体"/>
          <w:szCs w:val="20"/>
        </w:rPr>
        <w:t xml:space="preserve"> or reception</w:t>
      </w:r>
      <w:r>
        <w:rPr>
          <w:rFonts w:eastAsia="宋体"/>
          <w:szCs w:val="20"/>
        </w:rPr>
        <w:t>s</w:t>
      </w:r>
      <w:r>
        <w:rPr>
          <w:rFonts w:hint="eastAsia" w:eastAsia="宋体"/>
          <w:szCs w:val="20"/>
        </w:rPr>
        <w:t xml:space="preserve"> after application time. The </w:t>
      </w:r>
      <w:r>
        <w:rPr>
          <w:rFonts w:hint="eastAsia" w:eastAsia="宋体"/>
          <w:iCs/>
        </w:rPr>
        <w:t>application</w:t>
      </w:r>
      <w:r>
        <w:rPr>
          <w:rFonts w:hint="eastAsia" w:eastAsia="宋体"/>
          <w:szCs w:val="20"/>
        </w:rPr>
        <w:t xml:space="preserve"> time for all target transmissions is supposed to be the same, even for transmissions on CCs with different SCSs. However, </w:t>
      </w:r>
      <w:r>
        <w:rPr>
          <w:rFonts w:eastAsia="宋体"/>
          <w:szCs w:val="20"/>
        </w:rPr>
        <w:t xml:space="preserve">based on the NR PUSCH transmission framework, antenna port(s) of some types of PUSCH, e.g., scheduled by DCI format 0_1/2, are determined according to the most recent transmission of SRS resource(s), which means that till the first SRS transmission after unified TCI update, PUSCH may not follow the same beams as other channels/RSs.  </w:t>
      </w:r>
    </w:p>
    <w:p>
      <w:pPr>
        <w:pStyle w:val="99"/>
        <w:snapToGrid w:val="0"/>
        <w:spacing w:before="60" w:beforeLines="25" w:after="60" w:afterLines="25" w:line="300" w:lineRule="auto"/>
        <w:ind w:firstLine="0" w:firstLineChars="0"/>
        <w:jc w:val="both"/>
        <w:rPr>
          <w:rFonts w:eastAsia="宋体"/>
          <w:szCs w:val="20"/>
        </w:rPr>
      </w:pPr>
      <w:r>
        <w:rPr>
          <w:rFonts w:eastAsia="宋体"/>
          <w:szCs w:val="20"/>
        </w:rPr>
        <w:t>For sake of presentation, w</w:t>
      </w:r>
      <w:r>
        <w:rPr>
          <w:rFonts w:hint="eastAsia" w:eastAsia="宋体"/>
          <w:szCs w:val="20"/>
        </w:rPr>
        <w:t>e provide</w:t>
      </w:r>
      <w:r>
        <w:rPr>
          <w:rFonts w:eastAsia="宋体"/>
          <w:szCs w:val="20"/>
        </w:rPr>
        <w:t xml:space="preserve"> detailed </w:t>
      </w:r>
      <w:r>
        <w:rPr>
          <w:rFonts w:hint="eastAsia" w:eastAsia="宋体"/>
          <w:szCs w:val="20"/>
        </w:rPr>
        <w:t>example</w:t>
      </w:r>
      <w:r>
        <w:rPr>
          <w:rFonts w:eastAsia="宋体"/>
          <w:szCs w:val="20"/>
        </w:rPr>
        <w:t>s</w:t>
      </w:r>
      <w:r>
        <w:rPr>
          <w:rFonts w:hint="eastAsia" w:eastAsia="宋体"/>
          <w:szCs w:val="20"/>
        </w:rPr>
        <w:t xml:space="preserve"> for target PUSCH transmission</w:t>
      </w:r>
      <w:r>
        <w:rPr>
          <w:rFonts w:eastAsia="宋体"/>
          <w:szCs w:val="20"/>
        </w:rPr>
        <w:t xml:space="preserve"> as follows</w:t>
      </w:r>
      <w:r>
        <w:rPr>
          <w:rFonts w:hint="eastAsia" w:eastAsia="宋体"/>
          <w:szCs w:val="20"/>
        </w:rPr>
        <w:t>:</w:t>
      </w:r>
    </w:p>
    <w:p>
      <w:pPr>
        <w:pStyle w:val="99"/>
        <w:numPr>
          <w:ilvl w:val="0"/>
          <w:numId w:val="8"/>
        </w:numPr>
        <w:snapToGrid w:val="0"/>
        <w:spacing w:before="60" w:beforeLines="25" w:after="60" w:afterLines="25" w:line="300" w:lineRule="auto"/>
        <w:ind w:left="400" w:hanging="400" w:hangingChars="200"/>
        <w:jc w:val="both"/>
        <w:rPr>
          <w:rFonts w:eastAsia="宋体"/>
          <w:szCs w:val="20"/>
        </w:rPr>
      </w:pPr>
      <w:r>
        <w:rPr>
          <w:rFonts w:eastAsia="宋体"/>
        </w:rPr>
        <w:t xml:space="preserve">Case </w:t>
      </w:r>
      <w:r>
        <w:rPr>
          <w:rFonts w:hint="eastAsia" w:eastAsia="宋体"/>
          <w:szCs w:val="20"/>
        </w:rPr>
        <w:t xml:space="preserve">1: PUSCH </w:t>
      </w:r>
      <w:r>
        <w:rPr>
          <w:rFonts w:hint="eastAsia" w:eastAsia="宋体"/>
          <w:iCs/>
        </w:rPr>
        <w:t>transmission</w:t>
      </w:r>
      <w:r>
        <w:rPr>
          <w:rFonts w:hint="eastAsia" w:eastAsia="宋体"/>
          <w:szCs w:val="20"/>
        </w:rPr>
        <w:t xml:space="preserve"> is scheduled by a DCI format 0_0</w:t>
      </w:r>
    </w:p>
    <w:p>
      <w:pPr>
        <w:numPr>
          <w:ilvl w:val="1"/>
          <w:numId w:val="8"/>
        </w:numPr>
        <w:snapToGrid w:val="0"/>
        <w:spacing w:before="120" w:after="120" w:afterLines="50" w:line="300" w:lineRule="auto"/>
        <w:ind w:left="800"/>
        <w:jc w:val="both"/>
        <w:rPr>
          <w:rFonts w:eastAsia="宋体"/>
          <w:szCs w:val="20"/>
        </w:rPr>
      </w:pPr>
      <w:r>
        <w:rPr>
          <w:rFonts w:hint="eastAsia" w:eastAsia="宋体"/>
          <w:szCs w:val="20"/>
        </w:rPr>
        <w:t>The actual application time of the unified TCI state for a PUSCH transmission can be the same as for other types of target transmissions, such as PUSCH, PUCCH, PUCCH, SRS, or CSI-RS.</w:t>
      </w:r>
    </w:p>
    <w:p>
      <w:pPr>
        <w:pStyle w:val="109"/>
        <w:numPr>
          <w:ilvl w:val="0"/>
          <w:numId w:val="8"/>
        </w:numPr>
        <w:snapToGrid w:val="0"/>
        <w:spacing w:before="120" w:after="120" w:afterLines="50" w:line="300" w:lineRule="auto"/>
        <w:ind w:left="400" w:hanging="400" w:hangingChars="200"/>
        <w:jc w:val="both"/>
        <w:rPr>
          <w:rFonts w:eastAsia="宋体"/>
          <w:szCs w:val="20"/>
        </w:rPr>
      </w:pPr>
      <w:r>
        <w:rPr>
          <w:rFonts w:hint="eastAsia" w:eastAsia="宋体"/>
          <w:szCs w:val="20"/>
        </w:rPr>
        <w:t>Case 2: PUSCH transmission is</w:t>
      </w:r>
      <w:r>
        <w:rPr>
          <w:rFonts w:hint="eastAsia" w:eastAsia="宋体"/>
          <w:iCs/>
        </w:rPr>
        <w:t xml:space="preserve"> </w:t>
      </w:r>
      <w:r>
        <w:rPr>
          <w:rFonts w:hint="eastAsia" w:eastAsia="宋体"/>
          <w:szCs w:val="20"/>
        </w:rPr>
        <w:t xml:space="preserve">scheduled by a DCI format 0_1/0_2 </w:t>
      </w:r>
    </w:p>
    <w:p>
      <w:pPr>
        <w:numPr>
          <w:ilvl w:val="1"/>
          <w:numId w:val="8"/>
        </w:numPr>
        <w:snapToGrid w:val="0"/>
        <w:spacing w:before="120" w:after="120" w:afterLines="50" w:line="300" w:lineRule="auto"/>
        <w:ind w:left="800"/>
        <w:jc w:val="both"/>
        <w:rPr>
          <w:rFonts w:eastAsia="宋体"/>
          <w:szCs w:val="20"/>
        </w:rPr>
      </w:pPr>
      <w:r>
        <w:rPr>
          <w:rFonts w:hint="eastAsia" w:eastAsia="宋体"/>
          <w:szCs w:val="20"/>
        </w:rPr>
        <w:t xml:space="preserve">The actual application time of the unified TCI state for a PUSCH transmission may be </w:t>
      </w:r>
      <w:r>
        <w:rPr>
          <w:rFonts w:eastAsia="宋体"/>
          <w:szCs w:val="20"/>
        </w:rPr>
        <w:t xml:space="preserve">some </w:t>
      </w:r>
      <w:r>
        <w:rPr>
          <w:rFonts w:hint="eastAsia" w:eastAsia="宋体"/>
          <w:szCs w:val="20"/>
        </w:rPr>
        <w:t xml:space="preserve">later than that for other types of target transmissions, since PUSCH transmission should refer to beam of </w:t>
      </w:r>
      <w:r>
        <w:rPr>
          <w:rFonts w:eastAsia="宋体"/>
          <w:szCs w:val="20"/>
        </w:rPr>
        <w:t xml:space="preserve">the most recent transmission of </w:t>
      </w:r>
      <w:r>
        <w:rPr>
          <w:rFonts w:hint="eastAsia" w:eastAsia="宋体"/>
          <w:szCs w:val="20"/>
        </w:rPr>
        <w:t xml:space="preserve">SRS resource indicated by the SRI, according to current PUSCH scheme. </w:t>
      </w:r>
    </w:p>
    <w:p>
      <w:pPr>
        <w:numPr>
          <w:ilvl w:val="1"/>
          <w:numId w:val="8"/>
        </w:numPr>
        <w:snapToGrid w:val="0"/>
        <w:spacing w:before="120" w:after="120" w:afterLines="50" w:line="300" w:lineRule="auto"/>
        <w:ind w:left="800"/>
        <w:jc w:val="both"/>
        <w:rPr>
          <w:rFonts w:eastAsia="宋体"/>
          <w:szCs w:val="20"/>
        </w:rPr>
      </w:pPr>
      <w:r>
        <w:rPr>
          <w:rFonts w:hint="eastAsia" w:eastAsia="宋体"/>
          <w:szCs w:val="20"/>
        </w:rPr>
        <w:t>Note that the actual application time of the unified TCI state for SRS transmission can be the same as for other types of target transmissions.</w:t>
      </w:r>
    </w:p>
    <w:p>
      <w:pPr>
        <w:pStyle w:val="109"/>
        <w:numPr>
          <w:ilvl w:val="0"/>
          <w:numId w:val="8"/>
        </w:numPr>
        <w:snapToGrid w:val="0"/>
        <w:spacing w:before="120" w:after="120" w:afterLines="50" w:line="300" w:lineRule="auto"/>
        <w:ind w:left="400" w:hanging="400" w:hangingChars="200"/>
        <w:jc w:val="both"/>
        <w:rPr>
          <w:rFonts w:eastAsia="宋体"/>
          <w:szCs w:val="20"/>
        </w:rPr>
      </w:pPr>
      <w:r>
        <w:rPr>
          <w:rFonts w:hint="eastAsia" w:eastAsia="宋体"/>
          <w:szCs w:val="20"/>
        </w:rPr>
        <w:t>Case 3: PUSCH transmission is configured grant, i.e. CG type 1 or CG type 2</w:t>
      </w:r>
    </w:p>
    <w:p>
      <w:pPr>
        <w:numPr>
          <w:ilvl w:val="1"/>
          <w:numId w:val="8"/>
        </w:numPr>
        <w:snapToGrid w:val="0"/>
        <w:spacing w:before="120" w:after="120" w:afterLines="50" w:line="300" w:lineRule="auto"/>
        <w:ind w:left="800"/>
        <w:jc w:val="both"/>
        <w:rPr>
          <w:rFonts w:eastAsia="宋体"/>
          <w:szCs w:val="20"/>
        </w:rPr>
      </w:pPr>
      <w:r>
        <w:rPr>
          <w:rFonts w:eastAsia="宋体"/>
          <w:szCs w:val="20"/>
        </w:rPr>
        <w:t>Similarly, due to being based on the most recent SRS transmission before configured grant/UL-SPS assignment PDCCH, t</w:t>
      </w:r>
      <w:r>
        <w:rPr>
          <w:rFonts w:hint="eastAsia" w:eastAsia="宋体"/>
          <w:szCs w:val="20"/>
        </w:rPr>
        <w:t xml:space="preserve">he actual application time of the unified TCI state for a PUSCH transmission may be </w:t>
      </w:r>
      <w:r>
        <w:rPr>
          <w:rFonts w:eastAsia="宋体"/>
          <w:szCs w:val="20"/>
        </w:rPr>
        <w:t xml:space="preserve">much </w:t>
      </w:r>
      <w:r>
        <w:rPr>
          <w:rFonts w:hint="eastAsia" w:eastAsia="宋体"/>
          <w:szCs w:val="20"/>
        </w:rPr>
        <w:t>later than that for other types of target transmissions</w:t>
      </w:r>
      <w:r>
        <w:rPr>
          <w:rFonts w:eastAsia="宋体"/>
          <w:szCs w:val="20"/>
        </w:rPr>
        <w:t xml:space="preserve">. Specifically, considering the large time-domain gap between UL </w:t>
      </w:r>
      <w:r>
        <w:rPr>
          <w:rFonts w:hint="eastAsia" w:eastAsia="宋体"/>
          <w:szCs w:val="20"/>
        </w:rPr>
        <w:t>SPS-assignment</w:t>
      </w:r>
      <w:r>
        <w:rPr>
          <w:rFonts w:eastAsia="宋体"/>
          <w:szCs w:val="20"/>
        </w:rPr>
        <w:t xml:space="preserve"> PDCCH and the CG PUSCH transmission, the misalignment issue may be more severe compared with Case 2</w:t>
      </w:r>
      <w:r>
        <w:rPr>
          <w:rFonts w:hint="eastAsia" w:eastAsia="宋体"/>
          <w:szCs w:val="20"/>
        </w:rPr>
        <w:t>.</w:t>
      </w:r>
    </w:p>
    <w:p>
      <w:pPr>
        <w:numPr>
          <w:ilvl w:val="1"/>
          <w:numId w:val="8"/>
        </w:numPr>
        <w:snapToGrid w:val="0"/>
        <w:spacing w:before="120" w:after="120" w:afterLines="50" w:line="300" w:lineRule="auto"/>
        <w:ind w:left="800"/>
        <w:jc w:val="both"/>
        <w:rPr>
          <w:rFonts w:eastAsia="宋体"/>
          <w:szCs w:val="20"/>
        </w:rPr>
      </w:pPr>
      <w:r>
        <w:rPr>
          <w:rFonts w:eastAsia="宋体"/>
          <w:szCs w:val="20"/>
        </w:rPr>
        <w:t xml:space="preserve">Also, other similar </w:t>
      </w:r>
      <w:r>
        <w:rPr>
          <w:rFonts w:hint="eastAsia" w:eastAsia="宋体"/>
          <w:szCs w:val="20"/>
        </w:rPr>
        <w:t>issue</w:t>
      </w:r>
      <w:r>
        <w:rPr>
          <w:rFonts w:eastAsia="宋体"/>
          <w:szCs w:val="20"/>
        </w:rPr>
        <w:t>s</w:t>
      </w:r>
      <w:r>
        <w:rPr>
          <w:rFonts w:hint="eastAsia" w:eastAsia="宋体"/>
          <w:szCs w:val="20"/>
        </w:rPr>
        <w:t xml:space="preserve"> may be considered</w:t>
      </w:r>
      <w:r>
        <w:rPr>
          <w:rFonts w:eastAsia="宋体"/>
          <w:szCs w:val="20"/>
        </w:rPr>
        <w:t xml:space="preserve"> as well</w:t>
      </w:r>
      <w:r>
        <w:rPr>
          <w:rFonts w:hint="eastAsia" w:eastAsia="宋体"/>
          <w:szCs w:val="20"/>
        </w:rPr>
        <w:t xml:space="preserve">: precoding information determined at the beginning of the CG PUSCH transmissions, such as TPMI, number of layers, may </w:t>
      </w:r>
      <w:r>
        <w:rPr>
          <w:rFonts w:eastAsia="宋体"/>
          <w:szCs w:val="20"/>
        </w:rPr>
        <w:t>NOT</w:t>
      </w:r>
      <w:r>
        <w:rPr>
          <w:rFonts w:hint="eastAsia" w:eastAsia="宋体"/>
          <w:szCs w:val="20"/>
        </w:rPr>
        <w:t xml:space="preserve"> be suitable</w:t>
      </w:r>
      <w:r>
        <w:rPr>
          <w:rFonts w:eastAsia="宋体"/>
          <w:szCs w:val="20"/>
        </w:rPr>
        <w:t xml:space="preserve"> once</w:t>
      </w:r>
      <w:r>
        <w:rPr>
          <w:rFonts w:hint="eastAsia" w:eastAsia="宋体"/>
          <w:szCs w:val="20"/>
        </w:rPr>
        <w:t xml:space="preserve"> unified TCI state changes.</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 xml:space="preserve">The application time delay seems inevitable if a PUSCH transmission follows beam/spatial relation of </w:t>
      </w:r>
      <w:r>
        <w:rPr>
          <w:rFonts w:eastAsia="宋体"/>
          <w:szCs w:val="20"/>
        </w:rPr>
        <w:t>the most recent SRS transmission prior to the scheduling/</w:t>
      </w:r>
      <w:r>
        <w:rPr>
          <w:rFonts w:hint="eastAsia" w:eastAsia="宋体"/>
          <w:szCs w:val="20"/>
        </w:rPr>
        <w:t>SPS-assignment</w:t>
      </w:r>
      <w:r>
        <w:rPr>
          <w:rFonts w:eastAsia="宋体"/>
          <w:szCs w:val="20"/>
        </w:rPr>
        <w:t xml:space="preserve"> PDCCH or the configured grant</w:t>
      </w:r>
      <w:r>
        <w:rPr>
          <w:rFonts w:hint="eastAsia" w:eastAsia="宋体"/>
          <w:szCs w:val="20"/>
        </w:rPr>
        <w:t>. But</w:t>
      </w:r>
      <w:r>
        <w:rPr>
          <w:rFonts w:eastAsia="宋体"/>
          <w:szCs w:val="20"/>
        </w:rPr>
        <w:t>, in order to mitigate this beam misalignment impact,</w:t>
      </w:r>
      <w:r>
        <w:rPr>
          <w:rFonts w:hint="eastAsia" w:eastAsia="宋体"/>
          <w:szCs w:val="20"/>
        </w:rPr>
        <w:t xml:space="preserve"> </w:t>
      </w:r>
      <w:r>
        <w:rPr>
          <w:rFonts w:eastAsia="宋体"/>
          <w:szCs w:val="20"/>
        </w:rPr>
        <w:t xml:space="preserve">we suggest to refine the UE behavior at least for </w:t>
      </w:r>
      <w:r>
        <w:rPr>
          <w:rFonts w:hint="eastAsia" w:eastAsia="宋体"/>
          <w:szCs w:val="20"/>
        </w:rPr>
        <w:t>rank 1</w:t>
      </w:r>
      <w:r>
        <w:rPr>
          <w:rFonts w:eastAsia="宋体"/>
          <w:szCs w:val="20"/>
        </w:rPr>
        <w:t xml:space="preserve"> PUSCH transmission in such case, considering that this transmission can be much similar to PUSCH scheduled by DCI format 0_0. That is,</w:t>
      </w:r>
      <w:r>
        <w:rPr>
          <w:rFonts w:hint="eastAsia" w:eastAsia="宋体"/>
          <w:szCs w:val="20"/>
        </w:rPr>
        <w:t xml:space="preserve"> the new unified TCI state can be applicable</w:t>
      </w:r>
      <w:r>
        <w:rPr>
          <w:rFonts w:eastAsia="宋体"/>
          <w:szCs w:val="20"/>
        </w:rPr>
        <w:t xml:space="preserve"> for rank 1 PUSCH transmission</w:t>
      </w:r>
      <w:r>
        <w:rPr>
          <w:rFonts w:hint="eastAsia" w:eastAsia="宋体"/>
          <w:szCs w:val="20"/>
        </w:rPr>
        <w:t xml:space="preserve"> at the same time as for other types of target transmissions</w:t>
      </w:r>
      <w:r>
        <w:rPr>
          <w:rFonts w:eastAsia="宋体"/>
          <w:szCs w:val="20"/>
        </w:rPr>
        <w:t>, regardless that the PUSCH refers to that scheduled by DCI format 0_1/2 or with a configured grant</w:t>
      </w:r>
      <w:r>
        <w:rPr>
          <w:rFonts w:hint="eastAsia" w:eastAsia="宋体"/>
          <w:szCs w:val="20"/>
        </w:rPr>
        <w:t xml:space="preserve">. </w:t>
      </w:r>
    </w:p>
    <w:p>
      <w:pPr>
        <w:snapToGrid w:val="0"/>
        <w:spacing w:before="120" w:after="120" w:afterLines="50" w:line="300" w:lineRule="auto"/>
        <w:jc w:val="both"/>
        <w:rPr>
          <w:rFonts w:eastAsia="微软雅黑"/>
          <w:i/>
          <w:iCs/>
          <w:szCs w:val="20"/>
        </w:rPr>
      </w:pPr>
      <w:r>
        <w:rPr>
          <w:rFonts w:eastAsia="微软雅黑"/>
          <w:b/>
          <w:bCs/>
          <w:i/>
          <w:iCs/>
          <w:szCs w:val="20"/>
        </w:rPr>
        <w:t xml:space="preserve">Proposal </w:t>
      </w:r>
      <w:r>
        <w:rPr>
          <w:rFonts w:hint="eastAsia" w:eastAsia="微软雅黑"/>
          <w:b/>
          <w:bCs/>
          <w:i/>
          <w:iCs/>
          <w:szCs w:val="20"/>
        </w:rPr>
        <w:t>9</w:t>
      </w:r>
      <w:r>
        <w:rPr>
          <w:rFonts w:eastAsia="微软雅黑"/>
          <w:b/>
          <w:bCs/>
          <w:i/>
          <w:iCs/>
          <w:szCs w:val="20"/>
        </w:rPr>
        <w:t>:</w:t>
      </w:r>
      <w:r>
        <w:rPr>
          <w:rFonts w:eastAsia="微软雅黑"/>
          <w:i/>
          <w:iCs/>
          <w:szCs w:val="20"/>
        </w:rPr>
        <w:t xml:space="preserve"> </w:t>
      </w:r>
      <w:r>
        <w:rPr>
          <w:rFonts w:hint="eastAsia" w:eastAsia="微软雅黑"/>
          <w:i/>
          <w:iCs/>
          <w:szCs w:val="20"/>
        </w:rPr>
        <w:t xml:space="preserve">Regarding PUSCH </w:t>
      </w:r>
      <w:r>
        <w:rPr>
          <w:rFonts w:eastAsia="微软雅黑"/>
          <w:i/>
          <w:iCs/>
          <w:szCs w:val="20"/>
        </w:rPr>
        <w:t>scheduled by DCI format 0_1/2 or with a configured grant</w:t>
      </w:r>
      <w:r>
        <w:rPr>
          <w:rFonts w:hint="eastAsia" w:eastAsia="微软雅黑"/>
          <w:i/>
          <w:iCs/>
          <w:szCs w:val="20"/>
        </w:rPr>
        <w:t xml:space="preserve">, </w:t>
      </w:r>
    </w:p>
    <w:p>
      <w:pPr>
        <w:pStyle w:val="111"/>
        <w:numPr>
          <w:ilvl w:val="0"/>
          <w:numId w:val="8"/>
        </w:numPr>
        <w:overflowPunct w:val="0"/>
        <w:autoSpaceDE w:val="0"/>
        <w:autoSpaceDN w:val="0"/>
        <w:adjustRightInd w:val="0"/>
        <w:snapToGrid w:val="0"/>
        <w:spacing w:before="120" w:beforeLines="50" w:after="120" w:afterLines="50" w:line="300" w:lineRule="auto"/>
        <w:ind w:left="400" w:firstLineChars="0"/>
        <w:jc w:val="both"/>
        <w:textAlignment w:val="baseline"/>
      </w:pPr>
      <w:r>
        <w:rPr>
          <w:rFonts w:eastAsia="微软雅黑"/>
          <w:i/>
          <w:iCs/>
          <w:szCs w:val="20"/>
        </w:rPr>
        <w:t>I</w:t>
      </w:r>
      <w:r>
        <w:rPr>
          <w:rFonts w:hint="eastAsia" w:eastAsia="微软雅黑"/>
          <w:i/>
          <w:iCs/>
          <w:szCs w:val="20"/>
        </w:rPr>
        <w:t xml:space="preserve">f the number of </w:t>
      </w:r>
      <w:r>
        <w:rPr>
          <w:rFonts w:eastAsia="微软雅黑"/>
          <w:i/>
          <w:iCs/>
          <w:szCs w:val="20"/>
        </w:rPr>
        <w:t xml:space="preserve">the corresponding </w:t>
      </w:r>
      <w:r>
        <w:rPr>
          <w:rFonts w:hint="eastAsia" w:eastAsia="微软雅黑"/>
          <w:i/>
          <w:iCs/>
          <w:szCs w:val="20"/>
        </w:rPr>
        <w:t>layer is 1,</w:t>
      </w:r>
      <w:r>
        <w:rPr>
          <w:rFonts w:eastAsia="微软雅黑"/>
          <w:i/>
          <w:iCs/>
          <w:szCs w:val="20"/>
        </w:rPr>
        <w:t xml:space="preserve"> </w:t>
      </w:r>
      <w:r>
        <w:rPr>
          <w:rFonts w:eastAsia="宋体"/>
          <w:i/>
          <w:iCs/>
          <w:szCs w:val="20"/>
        </w:rPr>
        <w:t>the same TCI-update application timeline as for other types of target transmissions, such as PDCCH, PDSCH, PUCCH, etc. are used, regardless of most recent SRS transmission.</w:t>
      </w:r>
    </w:p>
    <w:p>
      <w:pPr>
        <w:widowControl w:val="0"/>
        <w:numPr>
          <w:ilvl w:val="2"/>
          <w:numId w:val="7"/>
        </w:numPr>
        <w:tabs>
          <w:tab w:val="clear" w:pos="720"/>
        </w:tabs>
        <w:snapToGrid w:val="0"/>
        <w:spacing w:before="60" w:beforeLines="25" w:after="120" w:afterLines="50" w:line="240" w:lineRule="auto"/>
        <w:ind w:left="607" w:hanging="607"/>
        <w:jc w:val="both"/>
        <w:outlineLvl w:val="2"/>
        <w:rPr>
          <w:rFonts w:eastAsia="宋体"/>
          <w:b/>
          <w:bCs/>
          <w:sz w:val="21"/>
          <w:szCs w:val="21"/>
        </w:rPr>
      </w:pPr>
      <w:r>
        <w:rPr>
          <w:rFonts w:hint="eastAsia" w:eastAsia="宋体"/>
          <w:b/>
          <w:bCs/>
          <w:sz w:val="21"/>
          <w:szCs w:val="21"/>
        </w:rPr>
        <w:t xml:space="preserve">TCI state applied to an SRS set </w:t>
      </w:r>
      <w:r>
        <w:rPr>
          <w:rFonts w:hint="eastAsia" w:eastAsia="宋体"/>
          <w:b/>
          <w:sz w:val="21"/>
          <w:szCs w:val="20"/>
        </w:rPr>
        <w:t>for</w:t>
      </w:r>
      <w:r>
        <w:rPr>
          <w:rFonts w:hint="eastAsia" w:eastAsia="宋体"/>
          <w:b/>
          <w:bCs/>
          <w:sz w:val="21"/>
          <w:szCs w:val="21"/>
        </w:rPr>
        <w:t xml:space="preserve"> non codebook</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 xml:space="preserve">It is agreed that an SRS resource set for non codebook can share the same indicated Rel-17 TCI state. </w:t>
      </w:r>
      <w:r>
        <w:rPr>
          <w:rFonts w:eastAsia="宋体"/>
          <w:szCs w:val="20"/>
        </w:rPr>
        <w:t>The straight-forward solution</w:t>
      </w:r>
      <w:r>
        <w:rPr>
          <w:rFonts w:hint="eastAsia" w:eastAsia="宋体"/>
          <w:szCs w:val="20"/>
        </w:rPr>
        <w:t xml:space="preserve"> is that </w:t>
      </w:r>
      <w:r>
        <w:rPr>
          <w:rFonts w:eastAsia="宋体"/>
          <w:szCs w:val="20"/>
        </w:rPr>
        <w:t xml:space="preserve">the </w:t>
      </w:r>
      <w:r>
        <w:rPr>
          <w:rFonts w:eastAsia="宋体"/>
          <w:i/>
          <w:iCs/>
          <w:szCs w:val="20"/>
        </w:rPr>
        <w:t>associated-CSI-RS</w:t>
      </w:r>
      <w:r>
        <w:rPr>
          <w:rFonts w:eastAsia="宋体"/>
          <w:szCs w:val="20"/>
        </w:rPr>
        <w:t xml:space="preserve"> of the SRS resource set </w:t>
      </w:r>
      <w:r>
        <w:rPr>
          <w:rFonts w:hint="eastAsia" w:eastAsia="宋体"/>
          <w:szCs w:val="20"/>
        </w:rPr>
        <w:t xml:space="preserve">is </w:t>
      </w:r>
      <w:r>
        <w:rPr>
          <w:rFonts w:eastAsia="宋体"/>
          <w:szCs w:val="20"/>
        </w:rPr>
        <w:t>determined according to the indicated Rel-17 joint TCI state, and then the transmitting beam</w:t>
      </w:r>
      <w:r>
        <w:rPr>
          <w:rFonts w:hint="eastAsia" w:eastAsia="宋体"/>
          <w:szCs w:val="20"/>
        </w:rPr>
        <w:t>s</w:t>
      </w:r>
      <w:r>
        <w:rPr>
          <w:rFonts w:eastAsia="宋体"/>
          <w:szCs w:val="20"/>
        </w:rPr>
        <w:t xml:space="preserve"> of </w:t>
      </w:r>
      <w:r>
        <w:rPr>
          <w:rFonts w:hint="eastAsia" w:eastAsia="宋体"/>
          <w:szCs w:val="20"/>
        </w:rPr>
        <w:t xml:space="preserve">SRS resources </w:t>
      </w:r>
      <w:r>
        <w:rPr>
          <w:rFonts w:eastAsia="宋体"/>
          <w:szCs w:val="20"/>
        </w:rPr>
        <w:t>for</w:t>
      </w:r>
      <w:r>
        <w:rPr>
          <w:rFonts w:hint="eastAsia" w:eastAsia="宋体"/>
          <w:szCs w:val="20"/>
        </w:rPr>
        <w:t xml:space="preserve"> non codebook</w:t>
      </w:r>
      <w:r>
        <w:rPr>
          <w:rFonts w:eastAsia="宋体"/>
          <w:szCs w:val="20"/>
        </w:rPr>
        <w:t xml:space="preserve"> transmission</w:t>
      </w:r>
      <w:r>
        <w:rPr>
          <w:rFonts w:hint="eastAsia" w:eastAsia="宋体"/>
          <w:szCs w:val="20"/>
        </w:rPr>
        <w:t xml:space="preserve"> can </w:t>
      </w:r>
      <w:r>
        <w:rPr>
          <w:rFonts w:eastAsia="宋体"/>
          <w:szCs w:val="20"/>
        </w:rPr>
        <w:t>be updated accordingly</w:t>
      </w:r>
      <w:r>
        <w:rPr>
          <w:rFonts w:hint="eastAsia" w:eastAsia="宋体"/>
          <w:szCs w:val="20"/>
        </w:rPr>
        <w:t xml:space="preserve">. </w:t>
      </w:r>
    </w:p>
    <w:p>
      <w:pPr>
        <w:snapToGrid w:val="0"/>
        <w:spacing w:before="120" w:after="120" w:afterLines="50" w:line="300" w:lineRule="auto"/>
        <w:jc w:val="both"/>
        <w:rPr>
          <w:rFonts w:eastAsia="微软雅黑"/>
          <w:i/>
          <w:iCs/>
          <w:szCs w:val="20"/>
        </w:rPr>
      </w:pPr>
      <w:r>
        <w:rPr>
          <w:rFonts w:eastAsia="微软雅黑"/>
          <w:b/>
          <w:bCs/>
          <w:i/>
          <w:iCs/>
          <w:szCs w:val="20"/>
        </w:rPr>
        <w:t>Proposal 1</w:t>
      </w:r>
      <w:r>
        <w:rPr>
          <w:rFonts w:hint="eastAsia" w:eastAsia="微软雅黑"/>
          <w:b/>
          <w:bCs/>
          <w:i/>
          <w:iCs/>
          <w:szCs w:val="20"/>
        </w:rPr>
        <w:t>0</w:t>
      </w:r>
      <w:r>
        <w:rPr>
          <w:rFonts w:eastAsia="微软雅黑"/>
          <w:b/>
          <w:bCs/>
          <w:i/>
          <w:iCs/>
          <w:szCs w:val="20"/>
        </w:rPr>
        <w:t>:</w:t>
      </w:r>
      <w:r>
        <w:rPr>
          <w:rFonts w:eastAsia="微软雅黑"/>
          <w:i/>
          <w:iCs/>
          <w:szCs w:val="20"/>
        </w:rPr>
        <w:t xml:space="preserve"> The associated-CSI-RS of non codebook AP-SRS resource set can be determined according to the indicated Rel-17 joint TCI state.</w:t>
      </w:r>
      <w:r>
        <w:rPr>
          <w:rFonts w:hint="eastAsia" w:eastAsia="微软雅黑"/>
          <w:i/>
          <w:iCs/>
          <w:szCs w:val="20"/>
        </w:rPr>
        <w:t xml:space="preserve"> </w:t>
      </w:r>
    </w:p>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L1/L2-centric</w:t>
      </w:r>
      <w:r>
        <w:rPr>
          <w:rFonts w:eastAsia="宋体"/>
          <w:b/>
          <w:bCs/>
          <w:kern w:val="2"/>
          <w:sz w:val="24"/>
          <w:szCs w:val="24"/>
        </w:rPr>
        <w:t xml:space="preserve"> </w:t>
      </w:r>
      <w:r>
        <w:rPr>
          <w:rFonts w:hint="eastAsia" w:eastAsia="宋体"/>
          <w:b/>
          <w:bCs/>
          <w:kern w:val="2"/>
          <w:sz w:val="24"/>
          <w:szCs w:val="24"/>
        </w:rPr>
        <w:t>inter-cell beam management</w:t>
      </w:r>
    </w:p>
    <w:p>
      <w:pPr>
        <w:numPr>
          <w:ilvl w:val="2"/>
          <w:numId w:val="7"/>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Dynamic activation/deactivation SSB of non-serving cell</w:t>
      </w:r>
    </w:p>
    <w:p>
      <w:pPr>
        <w:pStyle w:val="109"/>
        <w:numPr>
          <w:ilvl w:val="255"/>
          <w:numId w:val="0"/>
        </w:numPr>
        <w:snapToGrid w:val="0"/>
        <w:spacing w:before="60" w:beforeLines="25" w:after="60" w:afterLines="25" w:line="300" w:lineRule="auto"/>
        <w:jc w:val="both"/>
        <w:rPr>
          <w:rFonts w:eastAsia="宋体"/>
          <w:szCs w:val="20"/>
        </w:rPr>
      </w:pPr>
      <w:r>
        <w:rPr>
          <w:rFonts w:hint="eastAsia" w:eastAsia="宋体"/>
          <w:szCs w:val="20"/>
        </w:rPr>
        <w:t xml:space="preserve">In RAN1#104b-e, there is following agreement about L1/L2-centric inter-cell reporting.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11"/>
              <w:numPr>
                <w:ilvl w:val="255"/>
                <w:numId w:val="0"/>
              </w:numPr>
              <w:autoSpaceDN w:val="0"/>
              <w:snapToGrid w:val="0"/>
              <w:spacing w:after="0" w:line="240" w:lineRule="auto"/>
              <w:rPr>
                <w:rFonts w:eastAsia="宋体" w:cs="Times"/>
                <w:b/>
                <w:bCs/>
                <w:szCs w:val="20"/>
                <w:u w:val="single"/>
              </w:rPr>
            </w:pPr>
            <w:r>
              <w:rPr>
                <w:rFonts w:cs="Times"/>
                <w:b/>
                <w:bCs/>
                <w:szCs w:val="20"/>
                <w:u w:val="single"/>
              </w:rPr>
              <w:t>Agreement</w:t>
            </w:r>
            <w:r>
              <w:rPr>
                <w:rFonts w:hint="eastAsia" w:eastAsia="宋体" w:cs="Times"/>
                <w:b/>
                <w:bCs/>
                <w:szCs w:val="20"/>
                <w:u w:val="single"/>
              </w:rPr>
              <w:t xml:space="preserve"> #1</w:t>
            </w:r>
          </w:p>
          <w:p>
            <w:pPr>
              <w:pStyle w:val="111"/>
              <w:numPr>
                <w:ilvl w:val="255"/>
                <w:numId w:val="0"/>
              </w:numPr>
              <w:autoSpaceDN w:val="0"/>
              <w:snapToGrid w:val="0"/>
              <w:spacing w:after="0" w:line="240" w:lineRule="auto"/>
              <w:jc w:val="both"/>
              <w:rPr>
                <w:rFonts w:cs="Times"/>
              </w:rPr>
            </w:pPr>
            <w:r>
              <w:rPr>
                <w:rFonts w:cs="Times"/>
              </w:rPr>
              <w:t xml:space="preserve">On Rel.17 multi-beam measurement/reporting enhancements for L1/L2-centric inter-cell mobility and inter-cell mTRP, </w:t>
            </w:r>
          </w:p>
          <w:p>
            <w:pPr>
              <w:pStyle w:val="111"/>
              <w:numPr>
                <w:ilvl w:val="0"/>
                <w:numId w:val="16"/>
              </w:numPr>
              <w:autoSpaceDN w:val="0"/>
              <w:snapToGrid w:val="0"/>
              <w:spacing w:after="0" w:line="240" w:lineRule="auto"/>
              <w:ind w:firstLineChars="0"/>
              <w:rPr>
                <w:rFonts w:cs="Times"/>
              </w:rPr>
            </w:pPr>
            <w:r>
              <w:rPr>
                <w:rFonts w:cs="Times"/>
              </w:rPr>
              <w:t xml:space="preserve">On the value of K (defined in RAN1#104-e as the number of beam qualities associated at least with non-serving cell(s) can be reported in a single CSI reporting instance), </w:t>
            </w:r>
          </w:p>
          <w:p>
            <w:pPr>
              <w:pStyle w:val="111"/>
              <w:numPr>
                <w:ilvl w:val="0"/>
                <w:numId w:val="17"/>
              </w:numPr>
              <w:autoSpaceDN w:val="0"/>
              <w:snapToGrid w:val="0"/>
              <w:spacing w:after="0" w:line="240" w:lineRule="auto"/>
              <w:ind w:firstLine="400"/>
              <w:rPr>
                <w:rFonts w:cs="Times"/>
              </w:rPr>
            </w:pPr>
            <w:r>
              <w:rPr>
                <w:rFonts w:cs="Times"/>
              </w:rPr>
              <w:t>For the supported maximum value(s) of K, down-select at least one from the following candidates {4, 8, 16}</w:t>
            </w:r>
          </w:p>
          <w:p>
            <w:pPr>
              <w:pStyle w:val="111"/>
              <w:numPr>
                <w:ilvl w:val="0"/>
                <w:numId w:val="17"/>
              </w:numPr>
              <w:autoSpaceDN w:val="0"/>
              <w:snapToGrid w:val="0"/>
              <w:spacing w:after="0" w:line="240" w:lineRule="auto"/>
              <w:ind w:firstLine="400"/>
              <w:rPr>
                <w:rFonts w:cs="Times"/>
              </w:rPr>
            </w:pPr>
            <w:r>
              <w:rPr>
                <w:rFonts w:cs="Times"/>
              </w:rPr>
              <w:t>FFS: whether the maximum value of K is a UE capability</w:t>
            </w:r>
          </w:p>
          <w:p>
            <w:pPr>
              <w:pStyle w:val="111"/>
              <w:numPr>
                <w:ilvl w:val="0"/>
                <w:numId w:val="18"/>
              </w:numPr>
              <w:autoSpaceDN w:val="0"/>
              <w:snapToGrid w:val="0"/>
              <w:spacing w:after="0" w:line="240" w:lineRule="auto"/>
              <w:ind w:hanging="20" w:firstLineChars="0"/>
              <w:rPr>
                <w:rFonts w:cs="Times"/>
              </w:rPr>
            </w:pPr>
            <w:r>
              <w:rPr>
                <w:rFonts w:cs="Times"/>
              </w:rPr>
              <w:t>Periodic, semi-persistent, and aperiodic reporting (and the respective measurements) are supported.</w:t>
            </w:r>
          </w:p>
          <w:p>
            <w:pPr>
              <w:pStyle w:val="111"/>
              <w:numPr>
                <w:ilvl w:val="0"/>
                <w:numId w:val="17"/>
              </w:numPr>
              <w:autoSpaceDN w:val="0"/>
              <w:snapToGrid w:val="0"/>
              <w:spacing w:after="0" w:line="240" w:lineRule="auto"/>
              <w:ind w:firstLine="400"/>
              <w:rPr>
                <w:rFonts w:eastAsiaTheme="minorEastAsia"/>
              </w:rPr>
            </w:pPr>
            <w:r>
              <w:rPr>
                <w:rFonts w:cs="Times"/>
              </w:rPr>
              <w:t>Note: Semi-persistent and aperiodic reporting (and their respective measurements) are NW-</w:t>
            </w:r>
            <w:r>
              <w:rPr>
                <w:rFonts w:eastAsia="宋体" w:cs="Times"/>
              </w:rPr>
              <w:t>Initiated</w:t>
            </w:r>
            <w:r>
              <w:rPr>
                <w:rFonts w:cs="Times"/>
                <w:szCs w:val="20"/>
              </w:rPr>
              <w:t xml:space="preserve"> </w:t>
            </w:r>
          </w:p>
          <w:p>
            <w:pPr>
              <w:pStyle w:val="111"/>
              <w:numPr>
                <w:ilvl w:val="255"/>
                <w:numId w:val="0"/>
              </w:numPr>
              <w:autoSpaceDN w:val="0"/>
              <w:snapToGrid w:val="0"/>
              <w:spacing w:after="0" w:line="240" w:lineRule="auto"/>
              <w:rPr>
                <w:rFonts w:eastAsiaTheme="minorEastAsia"/>
              </w:rPr>
            </w:pPr>
            <w:r>
              <w:rPr>
                <w:rFonts w:cs="Times"/>
                <w:b/>
                <w:bCs/>
                <w:szCs w:val="20"/>
                <w:u w:val="single"/>
              </w:rPr>
              <w:t>Agreement</w:t>
            </w:r>
            <w:r>
              <w:rPr>
                <w:rFonts w:eastAsia="宋体" w:cs="Times"/>
                <w:b/>
                <w:bCs/>
                <w:szCs w:val="20"/>
                <w:u w:val="single"/>
              </w:rPr>
              <w:t xml:space="preserve"> #2</w:t>
            </w:r>
          </w:p>
          <w:p>
            <w:pPr>
              <w:numPr>
                <w:ilvl w:val="255"/>
                <w:numId w:val="0"/>
              </w:numPr>
              <w:autoSpaceDN w:val="0"/>
              <w:snapToGrid w:val="0"/>
              <w:spacing w:after="0" w:line="240" w:lineRule="auto"/>
              <w:rPr>
                <w:rFonts w:eastAsiaTheme="minorEastAsia"/>
              </w:rPr>
            </w:pPr>
            <w:r>
              <w:t xml:space="preserve">On Rel.17 multi-beam measurement/reporting enhancements for L1/L2-centric inter-cell mobility and inter-cell mTRP, </w:t>
            </w:r>
            <w:r>
              <w:rPr>
                <w:rFonts w:eastAsia="等线"/>
                <w:bCs/>
                <w:szCs w:val="18"/>
              </w:rPr>
              <w:t xml:space="preserve">for L1-RSRP measurement and at least aperiodic reporting, </w:t>
            </w:r>
            <w:r>
              <w:rPr>
                <w:rFonts w:eastAsia="等线"/>
                <w:szCs w:val="18"/>
              </w:rPr>
              <w:t>investigate and, if needed, specify</w:t>
            </w:r>
            <w:r>
              <w:rPr>
                <w:rFonts w:eastAsia="等线"/>
                <w:bCs/>
                <w:szCs w:val="18"/>
              </w:rPr>
              <w:t xml:space="preserve"> MAC CE based dynamic activation/deactivation of a subset of higher-layer-configured measurement for non-serving cell SSB</w:t>
            </w:r>
            <w:r>
              <w:rPr>
                <w:rFonts w:hint="eastAsia" w:eastAsia="等线"/>
                <w:bCs/>
                <w:szCs w:val="18"/>
              </w:rPr>
              <w:t>s</w:t>
            </w:r>
          </w:p>
        </w:tc>
      </w:tr>
    </w:tbl>
    <w:p>
      <w:pPr>
        <w:pStyle w:val="109"/>
        <w:widowControl w:val="0"/>
        <w:numPr>
          <w:ilvl w:val="255"/>
          <w:numId w:val="0"/>
        </w:numPr>
        <w:snapToGrid w:val="0"/>
        <w:spacing w:before="120" w:after="120" w:afterLines="50" w:line="300" w:lineRule="auto"/>
        <w:jc w:val="both"/>
        <w:rPr>
          <w:rFonts w:eastAsia="宋体"/>
          <w:szCs w:val="20"/>
        </w:rPr>
      </w:pPr>
      <w:r>
        <w:rPr>
          <w:rFonts w:hint="eastAsia" w:eastAsia="宋体"/>
          <w:szCs w:val="20"/>
        </w:rPr>
        <w:t xml:space="preserve">For semi-persistent and aperiodic reporting </w:t>
      </w:r>
      <w:r>
        <w:rPr>
          <w:rFonts w:eastAsia="宋体"/>
          <w:szCs w:val="20"/>
        </w:rPr>
        <w:t>for L1/L2-centric inter-cell mobility</w:t>
      </w:r>
      <w:r>
        <w:rPr>
          <w:rFonts w:hint="eastAsia" w:eastAsia="宋体"/>
          <w:szCs w:val="20"/>
        </w:rPr>
        <w:t xml:space="preserve">, the </w:t>
      </w:r>
      <w:r>
        <w:rPr>
          <w:rFonts w:eastAsia="宋体"/>
          <w:szCs w:val="20"/>
        </w:rPr>
        <w:t xml:space="preserve">beam measurement related to non-serving cell </w:t>
      </w:r>
      <w:r>
        <w:rPr>
          <w:rFonts w:hint="eastAsia" w:eastAsia="宋体"/>
          <w:szCs w:val="20"/>
        </w:rPr>
        <w:t>SSB</w:t>
      </w:r>
      <w:r>
        <w:rPr>
          <w:rFonts w:eastAsia="宋体"/>
          <w:szCs w:val="20"/>
        </w:rPr>
        <w:t>(s)</w:t>
      </w:r>
      <w:r>
        <w:rPr>
          <w:rFonts w:hint="eastAsia" w:eastAsia="宋体"/>
          <w:szCs w:val="20"/>
        </w:rPr>
        <w:t xml:space="preserve"> also can be dynamic</w:t>
      </w:r>
      <w:r>
        <w:rPr>
          <w:rFonts w:eastAsia="宋体"/>
          <w:szCs w:val="20"/>
        </w:rPr>
        <w:t>ally</w:t>
      </w:r>
      <w:r>
        <w:rPr>
          <w:rFonts w:hint="eastAsia" w:eastAsia="宋体"/>
          <w:szCs w:val="20"/>
        </w:rPr>
        <w:t xml:space="preserve"> activate</w:t>
      </w:r>
      <w:r>
        <w:rPr>
          <w:rFonts w:eastAsia="宋体"/>
          <w:szCs w:val="20"/>
        </w:rPr>
        <w:t>d</w:t>
      </w:r>
      <w:r>
        <w:rPr>
          <w:rFonts w:hint="eastAsia" w:eastAsia="宋体"/>
          <w:szCs w:val="20"/>
        </w:rPr>
        <w:t>/deactivate</w:t>
      </w:r>
      <w:r>
        <w:rPr>
          <w:rFonts w:eastAsia="宋体"/>
          <w:szCs w:val="20"/>
        </w:rPr>
        <w:t>d</w:t>
      </w:r>
      <w:r>
        <w:rPr>
          <w:rFonts w:hint="eastAsia" w:eastAsia="宋体"/>
          <w:szCs w:val="20"/>
        </w:rPr>
        <w:t xml:space="preserve"> by a MAC-CE in order to </w:t>
      </w:r>
      <w:r>
        <w:rPr>
          <w:rFonts w:eastAsia="宋体"/>
          <w:szCs w:val="20"/>
        </w:rPr>
        <w:t>save UE complexity</w:t>
      </w:r>
      <w:r>
        <w:rPr>
          <w:rFonts w:hint="eastAsia" w:eastAsia="宋体"/>
          <w:szCs w:val="20"/>
        </w:rPr>
        <w:t xml:space="preserve">. </w:t>
      </w:r>
      <w:r>
        <w:rPr>
          <w:rFonts w:eastAsia="宋体"/>
          <w:szCs w:val="20"/>
        </w:rPr>
        <w:t>In such case, t</w:t>
      </w:r>
      <w:r>
        <w:rPr>
          <w:rFonts w:hint="eastAsia" w:eastAsia="宋体"/>
          <w:szCs w:val="20"/>
        </w:rPr>
        <w:t xml:space="preserve">he UE only </w:t>
      </w:r>
      <w:r>
        <w:rPr>
          <w:rFonts w:eastAsia="宋体"/>
          <w:szCs w:val="20"/>
        </w:rPr>
        <w:t xml:space="preserve">needs to </w:t>
      </w:r>
      <w:r>
        <w:rPr>
          <w:rFonts w:hint="eastAsia" w:eastAsia="宋体"/>
          <w:szCs w:val="20"/>
        </w:rPr>
        <w:t>measure the</w:t>
      </w:r>
      <w:r>
        <w:rPr>
          <w:rFonts w:eastAsia="宋体"/>
          <w:szCs w:val="20"/>
        </w:rPr>
        <w:t xml:space="preserve"> activated</w:t>
      </w:r>
      <w:r>
        <w:rPr>
          <w:rFonts w:hint="eastAsia" w:eastAsia="宋体"/>
          <w:szCs w:val="20"/>
        </w:rPr>
        <w:t xml:space="preserve"> </w:t>
      </w:r>
      <w:r>
        <w:rPr>
          <w:rFonts w:eastAsia="宋体"/>
          <w:szCs w:val="20"/>
        </w:rPr>
        <w:t xml:space="preserve">non-serving cell </w:t>
      </w:r>
      <w:r>
        <w:rPr>
          <w:rFonts w:hint="eastAsia" w:eastAsia="宋体"/>
          <w:szCs w:val="20"/>
        </w:rPr>
        <w:t>SSB</w:t>
      </w:r>
      <w:r>
        <w:rPr>
          <w:rFonts w:eastAsia="宋体"/>
          <w:szCs w:val="20"/>
        </w:rPr>
        <w:t>(s)</w:t>
      </w:r>
      <w:r>
        <w:rPr>
          <w:rFonts w:hint="eastAsia" w:eastAsia="宋体"/>
          <w:szCs w:val="20"/>
        </w:rPr>
        <w:t xml:space="preserve"> </w:t>
      </w:r>
      <w:r>
        <w:rPr>
          <w:rFonts w:eastAsia="宋体"/>
          <w:szCs w:val="20"/>
        </w:rPr>
        <w:t xml:space="preserve">once the corresponding measurement for semi-persistent or aperiodic reporting is </w:t>
      </w:r>
      <w:r>
        <w:rPr>
          <w:rFonts w:hint="eastAsia" w:eastAsia="宋体"/>
          <w:szCs w:val="20"/>
        </w:rPr>
        <w:t>activated</w:t>
      </w:r>
      <w:r>
        <w:rPr>
          <w:rFonts w:eastAsia="宋体"/>
          <w:szCs w:val="20"/>
        </w:rPr>
        <w:t xml:space="preserve"> by MAC-CE</w:t>
      </w:r>
      <w:r>
        <w:rPr>
          <w:rFonts w:hint="eastAsia" w:eastAsia="宋体"/>
          <w:szCs w:val="20"/>
        </w:rPr>
        <w:t xml:space="preserve">. </w:t>
      </w:r>
    </w:p>
    <w:p>
      <w:pPr>
        <w:pStyle w:val="109"/>
        <w:widowControl w:val="0"/>
        <w:numPr>
          <w:ilvl w:val="0"/>
          <w:numId w:val="8"/>
        </w:numPr>
        <w:snapToGrid w:val="0"/>
        <w:spacing w:before="120" w:after="120" w:afterLines="50" w:line="300" w:lineRule="auto"/>
        <w:ind w:left="400" w:firstLineChars="0"/>
        <w:jc w:val="both"/>
        <w:rPr>
          <w:rFonts w:eastAsia="宋体"/>
          <w:szCs w:val="20"/>
        </w:rPr>
      </w:pPr>
      <w:r>
        <w:rPr>
          <w:rFonts w:eastAsia="宋体"/>
          <w:szCs w:val="20"/>
        </w:rPr>
        <w:t>Regarding semi-persistent reporting, t</w:t>
      </w:r>
      <w:r>
        <w:rPr>
          <w:rFonts w:hint="eastAsia" w:eastAsia="宋体"/>
          <w:szCs w:val="20"/>
        </w:rPr>
        <w:t>he current MAC-CE for activating semi-persistent CSI-RS set can be reused to activate a</w:t>
      </w:r>
      <w:r>
        <w:rPr>
          <w:rFonts w:eastAsia="宋体"/>
          <w:szCs w:val="20"/>
        </w:rPr>
        <w:t xml:space="preserve"> non-serving cell</w:t>
      </w:r>
      <w:r>
        <w:rPr>
          <w:rFonts w:hint="eastAsia" w:eastAsia="宋体"/>
          <w:szCs w:val="20"/>
        </w:rPr>
        <w:t xml:space="preserve"> SSB set</w:t>
      </w:r>
      <w:r>
        <w:rPr>
          <w:rFonts w:hint="eastAsia" w:eastAsia="宋体"/>
        </w:rPr>
        <w:t xml:space="preserve">. </w:t>
      </w:r>
      <w:r>
        <w:rPr>
          <w:rFonts w:eastAsia="宋体"/>
        </w:rPr>
        <w:t>In t</w:t>
      </w:r>
      <w:r>
        <w:rPr>
          <w:rFonts w:hint="eastAsia" w:eastAsia="宋体"/>
        </w:rPr>
        <w:t>he MAC</w:t>
      </w:r>
      <w:r>
        <w:rPr>
          <w:rFonts w:hint="eastAsia" w:eastAsia="宋体"/>
          <w:szCs w:val="20"/>
        </w:rPr>
        <w:t>-CE</w:t>
      </w:r>
      <w:r>
        <w:rPr>
          <w:rFonts w:eastAsia="宋体"/>
          <w:szCs w:val="20"/>
        </w:rPr>
        <w:t>,</w:t>
      </w:r>
      <w:r>
        <w:rPr>
          <w:rFonts w:hint="eastAsia" w:eastAsia="宋体"/>
          <w:szCs w:val="20"/>
        </w:rPr>
        <w:t xml:space="preserve"> </w:t>
      </w:r>
      <w:r>
        <w:rPr>
          <w:rFonts w:eastAsia="宋体"/>
          <w:szCs w:val="20"/>
        </w:rPr>
        <w:t>cell i</w:t>
      </w:r>
      <w:r>
        <w:rPr>
          <w:rFonts w:hint="eastAsia" w:eastAsia="宋体"/>
          <w:szCs w:val="20"/>
        </w:rPr>
        <w:t>nformation</w:t>
      </w:r>
      <w:r>
        <w:rPr>
          <w:rFonts w:eastAsia="宋体"/>
          <w:szCs w:val="20"/>
        </w:rPr>
        <w:t xml:space="preserve"> as a new non-serving related parameter set, can be indicated </w:t>
      </w:r>
      <w:r>
        <w:rPr>
          <w:rFonts w:hint="eastAsia" w:eastAsia="宋体"/>
          <w:szCs w:val="20"/>
        </w:rPr>
        <w:t>for each SSB resource in a</w:t>
      </w:r>
      <w:r>
        <w:rPr>
          <w:rFonts w:eastAsia="宋体"/>
          <w:szCs w:val="20"/>
        </w:rPr>
        <w:t>n</w:t>
      </w:r>
      <w:r>
        <w:rPr>
          <w:rFonts w:hint="eastAsia" w:eastAsia="宋体"/>
          <w:szCs w:val="20"/>
        </w:rPr>
        <w:t xml:space="preserve"> SSB set</w:t>
      </w:r>
      <w:r>
        <w:rPr>
          <w:rFonts w:eastAsia="宋体"/>
          <w:szCs w:val="20"/>
        </w:rPr>
        <w:t xml:space="preserve">, rather than </w:t>
      </w:r>
      <w:r>
        <w:rPr>
          <w:rFonts w:hint="eastAsia" w:eastAsia="宋体"/>
          <w:szCs w:val="20"/>
        </w:rPr>
        <w:t xml:space="preserve">indicating TCI state. </w:t>
      </w:r>
    </w:p>
    <w:p>
      <w:pPr>
        <w:pStyle w:val="109"/>
        <w:widowControl w:val="0"/>
        <w:numPr>
          <w:ilvl w:val="1"/>
          <w:numId w:val="8"/>
        </w:numPr>
        <w:snapToGrid w:val="0"/>
        <w:spacing w:before="120" w:after="120" w:afterLines="50" w:line="300" w:lineRule="auto"/>
        <w:ind w:left="800" w:firstLineChars="0"/>
        <w:jc w:val="both"/>
        <w:rPr>
          <w:rFonts w:eastAsia="宋体"/>
          <w:szCs w:val="20"/>
        </w:rPr>
      </w:pPr>
      <w:r>
        <w:rPr>
          <w:rFonts w:hint="eastAsia" w:eastAsia="宋体"/>
          <w:szCs w:val="20"/>
        </w:rPr>
        <w:t xml:space="preserve">The </w:t>
      </w:r>
      <w:r>
        <w:rPr>
          <w:rFonts w:eastAsia="宋体"/>
          <w:szCs w:val="20"/>
        </w:rPr>
        <w:t>non-</w:t>
      </w:r>
      <w:r>
        <w:rPr>
          <w:rFonts w:eastAsia="宋体"/>
        </w:rPr>
        <w:t xml:space="preserve">serving </w:t>
      </w:r>
      <w:r>
        <w:rPr>
          <w:rFonts w:eastAsia="宋体"/>
          <w:szCs w:val="20"/>
        </w:rPr>
        <w:t>cell i</w:t>
      </w:r>
      <w:r>
        <w:rPr>
          <w:rFonts w:hint="eastAsia" w:eastAsia="宋体"/>
          <w:szCs w:val="20"/>
        </w:rPr>
        <w:t>nformation includes PCI, and SSB</w:t>
      </w:r>
      <w:r>
        <w:rPr>
          <w:rFonts w:eastAsia="宋体"/>
          <w:szCs w:val="20"/>
        </w:rPr>
        <w:t xml:space="preserve"> related</w:t>
      </w:r>
      <w:r>
        <w:rPr>
          <w:rFonts w:hint="eastAsia" w:eastAsia="宋体"/>
          <w:szCs w:val="20"/>
        </w:rPr>
        <w:t xml:space="preserve"> information such as half frame index, periodicity, carrier information and Case information, wherein the Case</w:t>
      </w:r>
      <w:r>
        <w:rPr>
          <w:rFonts w:eastAsia="宋体"/>
          <w:szCs w:val="20"/>
        </w:rPr>
        <w:t xml:space="preserve"> information</w:t>
      </w:r>
      <w:r>
        <w:rPr>
          <w:rFonts w:hint="eastAsia" w:eastAsia="宋体"/>
          <w:szCs w:val="20"/>
        </w:rPr>
        <w:t xml:space="preserve"> includes Case A~Case E which is to determine time pattern of SSB </w:t>
      </w:r>
      <w:r>
        <w:rPr>
          <w:rFonts w:eastAsia="宋体"/>
          <w:szCs w:val="20"/>
        </w:rPr>
        <w:t xml:space="preserve">as </w:t>
      </w:r>
      <w:r>
        <w:rPr>
          <w:rFonts w:hint="eastAsia" w:eastAsia="宋体"/>
          <w:szCs w:val="20"/>
        </w:rPr>
        <w:t>described in 38.213.</w:t>
      </w:r>
    </w:p>
    <w:p>
      <w:pPr>
        <w:pStyle w:val="109"/>
        <w:widowControl w:val="0"/>
        <w:numPr>
          <w:ilvl w:val="1"/>
          <w:numId w:val="8"/>
        </w:numPr>
        <w:snapToGrid w:val="0"/>
        <w:spacing w:before="120" w:after="120" w:afterLines="50" w:line="300" w:lineRule="auto"/>
        <w:ind w:left="800" w:firstLineChars="0"/>
        <w:jc w:val="both"/>
        <w:rPr>
          <w:rFonts w:eastAsia="宋体"/>
          <w:szCs w:val="20"/>
        </w:rPr>
      </w:pPr>
      <w:r>
        <w:rPr>
          <w:rFonts w:hint="eastAsia" w:eastAsia="宋体"/>
          <w:szCs w:val="20"/>
        </w:rPr>
        <w:t>M</w:t>
      </w:r>
      <w:r>
        <w:rPr>
          <w:rFonts w:eastAsia="宋体"/>
          <w:szCs w:val="20"/>
        </w:rPr>
        <w:t xml:space="preserve">ultiple candidates of non-serving cell information is pre-configured in RRC, and then the MAC-CE further activate one of multiple candidates for an SSB resource in one activated SSB resource set for measurement.  </w:t>
      </w:r>
      <w:r>
        <w:rPr>
          <w:rFonts w:hint="eastAsia" w:eastAsia="宋体"/>
          <w:szCs w:val="20"/>
        </w:rPr>
        <w:t xml:space="preserve">The MAC-CE also includes the cell information of the SSB resource. </w:t>
      </w:r>
      <w:r>
        <w:rPr>
          <w:rFonts w:eastAsia="宋体"/>
          <w:szCs w:val="20"/>
        </w:rPr>
        <w:t>It means that the association between SSB resource and non-serving cell information is performed by MAC-CE instead of RRC.</w:t>
      </w:r>
    </w:p>
    <w:p>
      <w:pPr>
        <w:pStyle w:val="109"/>
        <w:widowControl w:val="0"/>
        <w:numPr>
          <w:ilvl w:val="0"/>
          <w:numId w:val="8"/>
        </w:numPr>
        <w:snapToGrid w:val="0"/>
        <w:spacing w:before="120" w:after="120" w:afterLines="50" w:line="300" w:lineRule="auto"/>
        <w:ind w:left="400" w:firstLineChars="0"/>
        <w:jc w:val="both"/>
        <w:rPr>
          <w:rFonts w:eastAsia="宋体"/>
        </w:rPr>
      </w:pPr>
      <w:r>
        <w:rPr>
          <w:rFonts w:eastAsia="宋体"/>
        </w:rPr>
        <w:t>Regarding aperiodic reporting, in RRC level, t</w:t>
      </w:r>
      <w:r>
        <w:rPr>
          <w:rFonts w:hint="eastAsia" w:eastAsia="宋体"/>
        </w:rPr>
        <w:t xml:space="preserve">he TCI state of an aperiodic CSI-RS in current trigger states can be replaced with </w:t>
      </w:r>
      <w:r>
        <w:rPr>
          <w:rFonts w:eastAsia="宋体"/>
        </w:rPr>
        <w:t>non-serving cell information accordingly</w:t>
      </w:r>
      <w:r>
        <w:rPr>
          <w:rFonts w:hint="eastAsia" w:eastAsia="宋体"/>
        </w:rPr>
        <w:t>.</w:t>
      </w:r>
      <w:r>
        <w:rPr>
          <w:rFonts w:eastAsia="宋体"/>
        </w:rPr>
        <w:t xml:space="preserve"> Specifically, t</w:t>
      </w:r>
      <w:r>
        <w:rPr>
          <w:rFonts w:hint="eastAsia" w:eastAsia="宋体"/>
        </w:rPr>
        <w:t xml:space="preserve">he trigger state includes </w:t>
      </w:r>
      <w:r>
        <w:rPr>
          <w:rFonts w:eastAsia="宋体"/>
        </w:rPr>
        <w:t xml:space="preserve">non-serving cell information </w:t>
      </w:r>
      <w:r>
        <w:rPr>
          <w:rFonts w:hint="eastAsia" w:eastAsia="宋体"/>
        </w:rPr>
        <w:t xml:space="preserve">for each SSB resource in an SSB resource set. </w:t>
      </w:r>
      <w:r>
        <w:rPr>
          <w:rFonts w:eastAsia="宋体"/>
        </w:rPr>
        <w:t>Then, t</w:t>
      </w:r>
      <w:r>
        <w:rPr>
          <w:rFonts w:hint="eastAsia" w:eastAsia="宋体"/>
        </w:rPr>
        <w:t xml:space="preserve">he UE only </w:t>
      </w:r>
      <w:r>
        <w:rPr>
          <w:rFonts w:eastAsia="宋体"/>
        </w:rPr>
        <w:t xml:space="preserve">need to </w:t>
      </w:r>
      <w:r>
        <w:rPr>
          <w:rFonts w:hint="eastAsia" w:eastAsia="宋体"/>
        </w:rPr>
        <w:t xml:space="preserve">measure the </w:t>
      </w:r>
      <w:r>
        <w:rPr>
          <w:rFonts w:eastAsia="宋体"/>
        </w:rPr>
        <w:t xml:space="preserve">non-serving cell </w:t>
      </w:r>
      <w:r>
        <w:rPr>
          <w:rFonts w:hint="eastAsia" w:eastAsia="宋体"/>
        </w:rPr>
        <w:t xml:space="preserve">SSB </w:t>
      </w:r>
      <w:r>
        <w:rPr>
          <w:rFonts w:eastAsia="宋体"/>
        </w:rPr>
        <w:t xml:space="preserve">set </w:t>
      </w:r>
      <w:r>
        <w:rPr>
          <w:rFonts w:hint="eastAsia" w:eastAsia="宋体"/>
        </w:rPr>
        <w:t xml:space="preserve">associated with </w:t>
      </w:r>
      <w:r>
        <w:rPr>
          <w:rFonts w:eastAsia="宋体"/>
        </w:rPr>
        <w:t>a</w:t>
      </w:r>
      <w:r>
        <w:rPr>
          <w:rFonts w:hint="eastAsia" w:eastAsia="宋体"/>
        </w:rPr>
        <w:t xml:space="preserve"> trigger state </w:t>
      </w:r>
      <w:r>
        <w:rPr>
          <w:rFonts w:eastAsia="宋体"/>
        </w:rPr>
        <w:t>activated</w:t>
      </w:r>
      <w:r>
        <w:rPr>
          <w:rFonts w:hint="eastAsia" w:eastAsia="宋体"/>
        </w:rPr>
        <w:t xml:space="preserve"> by </w:t>
      </w:r>
      <w:r>
        <w:rPr>
          <w:rFonts w:eastAsia="宋体"/>
        </w:rPr>
        <w:t>the</w:t>
      </w:r>
      <w:r>
        <w:rPr>
          <w:rFonts w:hint="eastAsia" w:eastAsia="宋体"/>
        </w:rPr>
        <w:t xml:space="preserve"> </w:t>
      </w:r>
      <w:r>
        <w:rPr>
          <w:rFonts w:eastAsia="宋体"/>
        </w:rPr>
        <w:t xml:space="preserve">legacy </w:t>
      </w:r>
      <w:r>
        <w:rPr>
          <w:rFonts w:hint="eastAsia" w:eastAsia="宋体"/>
        </w:rPr>
        <w:t>MAC-CE</w:t>
      </w:r>
      <w:r>
        <w:rPr>
          <w:rFonts w:eastAsia="宋体"/>
        </w:rPr>
        <w:t xml:space="preserve"> for activating AP-CSI triggering state(s)</w:t>
      </w:r>
      <w:r>
        <w:rPr>
          <w:rFonts w:hint="eastAsia" w:eastAsia="宋体"/>
        </w:rPr>
        <w:t xml:space="preserve">. </w:t>
      </w:r>
    </w:p>
    <w:p>
      <w:pPr>
        <w:pStyle w:val="109"/>
        <w:widowControl w:val="0"/>
        <w:numPr>
          <w:ilvl w:val="1"/>
          <w:numId w:val="8"/>
        </w:numPr>
        <w:snapToGrid w:val="0"/>
        <w:spacing w:before="120" w:after="120" w:afterLines="50" w:line="300" w:lineRule="auto"/>
        <w:ind w:left="800" w:firstLineChars="0"/>
        <w:jc w:val="both"/>
        <w:rPr>
          <w:rFonts w:eastAsia="宋体"/>
        </w:rPr>
      </w:pPr>
      <w:r>
        <w:rPr>
          <w:rFonts w:eastAsia="宋体"/>
        </w:rPr>
        <w:t xml:space="preserve">In Rel-15/16, there is a rule that the legacy MAC-CE is required only when the number of RRC candidate triggering states is greater than the maximum number of candidate </w:t>
      </w:r>
      <w:r>
        <w:rPr>
          <w:rFonts w:hint="eastAsia" w:eastAsia="宋体"/>
        </w:rPr>
        <w:t>codepoint</w:t>
      </w:r>
      <w:r>
        <w:rPr>
          <w:rFonts w:eastAsia="宋体"/>
        </w:rPr>
        <w:t>s</w:t>
      </w:r>
      <w:r>
        <w:rPr>
          <w:rFonts w:hint="eastAsia" w:eastAsia="宋体"/>
        </w:rPr>
        <w:t xml:space="preserve"> of CSI request field</w:t>
      </w:r>
      <w:r>
        <w:rPr>
          <w:rFonts w:eastAsia="宋体"/>
        </w:rPr>
        <w:t xml:space="preserve"> in DCI</w:t>
      </w:r>
      <w:r>
        <w:rPr>
          <w:rFonts w:hint="eastAsia" w:eastAsia="宋体"/>
        </w:rPr>
        <w:t xml:space="preserve">. </w:t>
      </w:r>
      <w:r>
        <w:rPr>
          <w:rFonts w:eastAsia="宋体"/>
        </w:rPr>
        <w:t>But, for saving the UE complexity for non-serving cell measurement, this rule of disabling the legacy MAC-CE should be removed.</w:t>
      </w:r>
      <w:r>
        <w:rPr>
          <w:rFonts w:hint="eastAsia" w:eastAsia="宋体"/>
        </w:rPr>
        <w:t xml:space="preserve"> </w:t>
      </w:r>
      <w:r>
        <w:rPr>
          <w:rFonts w:eastAsia="宋体"/>
        </w:rPr>
        <w:t xml:space="preserve">To be more specific, </w:t>
      </w:r>
      <w:r>
        <w:rPr>
          <w:rFonts w:hint="eastAsia" w:eastAsia="宋体"/>
        </w:rPr>
        <w:t xml:space="preserve">even if the number of trigger states configured by RRC is smaller than or equal to </w:t>
      </w:r>
      <w:r>
        <w:rPr>
          <w:position w:val="-4"/>
        </w:rPr>
        <w:object>
          <v:shape id="_x0000_i1026" o:spt="75" type="#_x0000_t75" style="height:14.35pt;width:36.65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rPr>
          <w:rFonts w:hint="eastAsia" w:eastAsia="宋体"/>
          <w:position w:val="-4"/>
        </w:rPr>
        <w:t xml:space="preserve">, the </w:t>
      </w:r>
      <w:r>
        <w:rPr>
          <w:rFonts w:eastAsia="宋体"/>
          <w:position w:val="-4"/>
        </w:rPr>
        <w:t xml:space="preserve">legacy </w:t>
      </w:r>
      <w:r>
        <w:rPr>
          <w:rFonts w:hint="eastAsia" w:eastAsia="宋体"/>
          <w:position w:val="-4"/>
        </w:rPr>
        <w:t>MAC-CE</w:t>
      </w:r>
      <w:r>
        <w:t xml:space="preserve"> </w:t>
      </w:r>
      <w:r>
        <w:rPr>
          <w:rFonts w:eastAsia="宋体"/>
          <w:position w:val="-4"/>
        </w:rPr>
        <w:t xml:space="preserve">for activating AP-CSI triggering state(s) </w:t>
      </w:r>
      <w:r>
        <w:rPr>
          <w:rFonts w:hint="eastAsia" w:eastAsia="宋体"/>
          <w:position w:val="-4"/>
        </w:rPr>
        <w:t xml:space="preserve">is </w:t>
      </w:r>
      <w:r>
        <w:rPr>
          <w:rFonts w:eastAsia="宋体"/>
          <w:position w:val="-4"/>
        </w:rPr>
        <w:t xml:space="preserve">also </w:t>
      </w:r>
      <w:r>
        <w:rPr>
          <w:rFonts w:hint="eastAsia" w:eastAsia="宋体"/>
          <w:position w:val="-4"/>
        </w:rPr>
        <w:t>needed</w:t>
      </w:r>
      <w:r>
        <w:rPr>
          <w:rFonts w:eastAsia="宋体"/>
          <w:position w:val="-4"/>
        </w:rPr>
        <w:t>, where</w:t>
      </w:r>
      <w:r>
        <w:rPr>
          <w:rFonts w:hint="eastAsia" w:eastAsia="宋体"/>
          <w:position w:val="-4"/>
        </w:rPr>
        <w:t xml:space="preserve"> </w:t>
      </w:r>
      <w:r>
        <w:rPr>
          <w:rFonts w:eastAsia="宋体"/>
          <w:i/>
          <w:position w:val="-4"/>
        </w:rPr>
        <w:t>N</w:t>
      </w:r>
      <w:r>
        <w:rPr>
          <w:rFonts w:eastAsia="宋体"/>
          <w:i/>
          <w:position w:val="-4"/>
          <w:vertAlign w:val="subscript"/>
        </w:rPr>
        <w:t>TS</w:t>
      </w:r>
      <w:r>
        <w:rPr>
          <w:rFonts w:eastAsia="宋体"/>
        </w:rPr>
        <w:t xml:space="preserve"> </w:t>
      </w:r>
      <w:r>
        <w:rPr>
          <w:rFonts w:hint="eastAsia" w:eastAsia="宋体"/>
          <w:position w:val="-4"/>
        </w:rPr>
        <w:t>is the number of bits of the CSI request field.</w:t>
      </w:r>
    </w:p>
    <w:p>
      <w:pPr>
        <w:pStyle w:val="109"/>
        <w:widowControl w:val="0"/>
        <w:numPr>
          <w:ilvl w:val="0"/>
          <w:numId w:val="8"/>
        </w:numPr>
        <w:snapToGrid w:val="0"/>
        <w:spacing w:before="120" w:after="120" w:afterLines="50" w:line="300" w:lineRule="auto"/>
        <w:ind w:left="400" w:hanging="400" w:hangingChars="200"/>
        <w:jc w:val="both"/>
        <w:rPr>
          <w:rFonts w:eastAsia="宋体"/>
        </w:rPr>
      </w:pPr>
      <w:r>
        <w:rPr>
          <w:rFonts w:hint="eastAsia" w:eastAsia="宋体"/>
        </w:rPr>
        <w:t xml:space="preserve">Before the SSB of a neighboring cell is activated, the SSB of the neighboring cell only can be measured in SMTC to save UE power. After the SSB of  the neighboring cell is activated, the SSB can be measured according to SSB pattern and periodicity configured for the PCI of the neighboring cell without restriction of SMTC. The SSB time domain pattern and periodicity of PCI of the neighboring cell can be configured by RRC </w:t>
      </w:r>
      <w:r>
        <w:rPr>
          <w:rFonts w:eastAsia="宋体"/>
        </w:rPr>
        <w:t>as agreed for</w:t>
      </w:r>
      <w:r>
        <w:rPr>
          <w:rFonts w:hint="eastAsia" w:eastAsia="宋体"/>
        </w:rPr>
        <w:t xml:space="preserve"> inter-cell MTRP</w:t>
      </w:r>
      <w:r>
        <w:rPr>
          <w:rFonts w:eastAsia="宋体"/>
        </w:rPr>
        <w:t>.</w:t>
      </w:r>
      <w:r>
        <w:rPr>
          <w:rFonts w:hint="eastAsia" w:eastAsia="宋体"/>
        </w:rPr>
        <w:t xml:space="preserve"> The PCI of the neighboring cell refers to a PCI different from PCI of a serving cell.</w:t>
      </w:r>
    </w:p>
    <w:p>
      <w:pPr>
        <w:pStyle w:val="109"/>
        <w:widowControl w:val="0"/>
        <w:numPr>
          <w:ilvl w:val="0"/>
          <w:numId w:val="8"/>
        </w:numPr>
        <w:snapToGrid w:val="0"/>
        <w:spacing w:before="120" w:after="120" w:afterLines="50" w:line="300" w:lineRule="auto"/>
        <w:ind w:left="400" w:hanging="400" w:hangingChars="200"/>
        <w:jc w:val="both"/>
        <w:rPr>
          <w:rFonts w:eastAsia="宋体"/>
        </w:rPr>
      </w:pPr>
      <w:r>
        <w:rPr>
          <w:rFonts w:hint="eastAsia" w:eastAsia="宋体"/>
        </w:rPr>
        <w:t xml:space="preserve">In addition, only </w:t>
      </w:r>
      <w:r>
        <w:rPr>
          <w:rFonts w:eastAsia="宋体"/>
        </w:rPr>
        <w:t xml:space="preserve">when </w:t>
      </w:r>
      <w:r>
        <w:rPr>
          <w:rFonts w:hint="eastAsia" w:eastAsia="宋体"/>
        </w:rPr>
        <w:t>the SSB of PCI different from serving cell is activated, the PRB of the SSB is unavailable for PDSCH</w:t>
      </w:r>
      <w:r>
        <w:rPr>
          <w:rFonts w:eastAsia="宋体"/>
        </w:rPr>
        <w:t>. O</w:t>
      </w:r>
      <w:r>
        <w:rPr>
          <w:rFonts w:hint="eastAsia" w:eastAsia="宋体"/>
        </w:rPr>
        <w:t>therwise</w:t>
      </w:r>
      <w:r>
        <w:rPr>
          <w:rFonts w:eastAsia="宋体"/>
        </w:rPr>
        <w:t>, for</w:t>
      </w:r>
      <w:r>
        <w:rPr>
          <w:rFonts w:hint="eastAsia" w:eastAsia="宋体"/>
        </w:rPr>
        <w:t xml:space="preserve"> PDSCH</w:t>
      </w:r>
      <w:r>
        <w:rPr>
          <w:rFonts w:eastAsia="宋体"/>
        </w:rPr>
        <w:t>,</w:t>
      </w:r>
      <w:r>
        <w:rPr>
          <w:rFonts w:hint="eastAsia" w:eastAsia="宋体"/>
        </w:rPr>
        <w:t xml:space="preserve"> rate mat</w:t>
      </w:r>
      <w:r>
        <w:rPr>
          <w:rFonts w:eastAsia="宋体"/>
        </w:rPr>
        <w:t>ch</w:t>
      </w:r>
      <w:r>
        <w:rPr>
          <w:rFonts w:hint="eastAsia" w:eastAsia="宋体"/>
        </w:rPr>
        <w:t xml:space="preserve">ing </w:t>
      </w:r>
      <w:r>
        <w:rPr>
          <w:rFonts w:eastAsia="宋体"/>
        </w:rPr>
        <w:t xml:space="preserve">does NOT need to be performed </w:t>
      </w:r>
      <w:r>
        <w:rPr>
          <w:rFonts w:hint="eastAsia" w:eastAsia="宋体"/>
        </w:rPr>
        <w:t xml:space="preserve">according to the SSB of </w:t>
      </w:r>
      <w:r>
        <w:rPr>
          <w:rFonts w:eastAsia="宋体"/>
        </w:rPr>
        <w:t>any neighboring</w:t>
      </w:r>
      <w:r>
        <w:rPr>
          <w:rFonts w:hint="eastAsia" w:eastAsia="宋体"/>
        </w:rPr>
        <w:t xml:space="preserve"> cell</w:t>
      </w:r>
      <w:r>
        <w:rPr>
          <w:rFonts w:eastAsia="宋体"/>
        </w:rPr>
        <w:t>s</w:t>
      </w:r>
      <w:r>
        <w:rPr>
          <w:rFonts w:hint="eastAsia" w:eastAsia="宋体"/>
        </w:rPr>
        <w:t xml:space="preserve">. </w:t>
      </w:r>
      <w:r>
        <w:rPr>
          <w:rFonts w:eastAsia="宋体"/>
        </w:rPr>
        <w:t>Similarly, t</w:t>
      </w:r>
      <w:r>
        <w:rPr>
          <w:rFonts w:hint="eastAsia" w:eastAsia="宋体"/>
        </w:rPr>
        <w:t xml:space="preserve">he UE determines whether a </w:t>
      </w:r>
      <w:r>
        <w:rPr>
          <w:rFonts w:eastAsia="宋体"/>
        </w:rPr>
        <w:t xml:space="preserve">UL </w:t>
      </w:r>
      <w:r>
        <w:rPr>
          <w:rFonts w:hint="eastAsia" w:eastAsia="宋体"/>
        </w:rPr>
        <w:t xml:space="preserve">resource can be </w:t>
      </w:r>
      <w:r>
        <w:rPr>
          <w:rFonts w:eastAsia="宋体"/>
        </w:rPr>
        <w:t xml:space="preserve">available for </w:t>
      </w:r>
      <w:r>
        <w:rPr>
          <w:rFonts w:hint="eastAsia" w:eastAsia="宋体"/>
        </w:rPr>
        <w:t xml:space="preserve">uplink transmission </w:t>
      </w:r>
      <w:r>
        <w:rPr>
          <w:rFonts w:eastAsia="宋体"/>
        </w:rPr>
        <w:t xml:space="preserve">only considering activated </w:t>
      </w:r>
      <w:r>
        <w:rPr>
          <w:rFonts w:hint="eastAsia" w:eastAsia="宋体"/>
        </w:rPr>
        <w:t>SSB of neighbor cell</w:t>
      </w:r>
      <w:r>
        <w:rPr>
          <w:rFonts w:eastAsia="宋体"/>
        </w:rPr>
        <w:t>, rather than configured one</w:t>
      </w:r>
      <w:r>
        <w:rPr>
          <w:rFonts w:hint="eastAsia" w:eastAsia="宋体"/>
        </w:rPr>
        <w:t>.</w:t>
      </w:r>
    </w:p>
    <w:p>
      <w:pPr>
        <w:snapToGrid w:val="0"/>
        <w:spacing w:before="120" w:after="120" w:afterLines="50" w:line="300" w:lineRule="auto"/>
        <w:jc w:val="both"/>
        <w:rPr>
          <w:rFonts w:eastAsia="微软雅黑"/>
          <w:i/>
          <w:iCs/>
          <w:szCs w:val="20"/>
        </w:rPr>
      </w:pPr>
      <w:r>
        <w:rPr>
          <w:rFonts w:eastAsia="微软雅黑"/>
          <w:b/>
          <w:bCs/>
          <w:i/>
          <w:iCs/>
          <w:szCs w:val="20"/>
        </w:rPr>
        <w:t>Proposal 11:</w:t>
      </w:r>
      <w:r>
        <w:rPr>
          <w:rFonts w:eastAsia="微软雅黑"/>
          <w:i/>
          <w:iCs/>
          <w:szCs w:val="20"/>
        </w:rPr>
        <w:t xml:space="preserve"> For L1-RSRP measurement for semi-persistent and aperiodic reporting in L1/L2-centric inter-cell mobility and inter-cell mTRP, the measurement of non-serving cell SSB(s) can be activated/deactivated by MAC-CE</w:t>
      </w:r>
    </w:p>
    <w:p>
      <w:pPr>
        <w:pStyle w:val="111"/>
        <w:numPr>
          <w:ilvl w:val="0"/>
          <w:numId w:val="8"/>
        </w:numPr>
        <w:snapToGrid w:val="0"/>
        <w:spacing w:before="120" w:after="120" w:afterLines="50" w:line="300" w:lineRule="auto"/>
        <w:ind w:left="400" w:firstLineChars="0"/>
        <w:jc w:val="both"/>
        <w:rPr>
          <w:rFonts w:eastAsia="微软雅黑"/>
          <w:i/>
          <w:iCs/>
          <w:szCs w:val="20"/>
        </w:rPr>
      </w:pPr>
      <w:r>
        <w:rPr>
          <w:rFonts w:eastAsia="微软雅黑"/>
          <w:i/>
          <w:iCs/>
          <w:szCs w:val="20"/>
        </w:rPr>
        <w:t>Regarding semi-persistent reporting, non-serving cell information (rather than TCI state in the legacy MAC-CE for SP-CSI-RS activation) can be activated by MAC CE for each SSB resource in a RRC configured SSB set.</w:t>
      </w:r>
    </w:p>
    <w:p>
      <w:pPr>
        <w:pStyle w:val="111"/>
        <w:numPr>
          <w:ilvl w:val="0"/>
          <w:numId w:val="8"/>
        </w:numPr>
        <w:snapToGrid w:val="0"/>
        <w:spacing w:before="120" w:after="120" w:afterLines="50" w:line="300" w:lineRule="auto"/>
        <w:ind w:left="400" w:firstLineChars="0"/>
        <w:jc w:val="both"/>
        <w:rPr>
          <w:rFonts w:eastAsia="微软雅黑"/>
          <w:i/>
          <w:iCs/>
          <w:szCs w:val="20"/>
        </w:rPr>
      </w:pPr>
      <w:r>
        <w:rPr>
          <w:rFonts w:eastAsia="微软雅黑"/>
          <w:i/>
          <w:iCs/>
          <w:szCs w:val="20"/>
        </w:rPr>
        <w:t xml:space="preserve">Regarding aperiodic reporting, </w:t>
      </w:r>
      <w:r>
        <w:rPr>
          <w:rFonts w:hint="eastAsia" w:eastAsia="微软雅黑"/>
          <w:i/>
          <w:iCs/>
          <w:szCs w:val="20"/>
        </w:rPr>
        <w:t xml:space="preserve">aperiodic CSI-RS in </w:t>
      </w:r>
      <w:r>
        <w:rPr>
          <w:rFonts w:eastAsia="微软雅黑"/>
          <w:i/>
          <w:iCs/>
          <w:szCs w:val="20"/>
        </w:rPr>
        <w:t>a</w:t>
      </w:r>
      <w:r>
        <w:rPr>
          <w:rFonts w:hint="eastAsia" w:eastAsia="微软雅黑"/>
          <w:i/>
          <w:iCs/>
          <w:szCs w:val="20"/>
        </w:rPr>
        <w:t xml:space="preserve"> trigger state can be </w:t>
      </w:r>
      <w:r>
        <w:rPr>
          <w:rFonts w:eastAsia="微软雅黑"/>
          <w:i/>
          <w:iCs/>
          <w:szCs w:val="20"/>
        </w:rPr>
        <w:t xml:space="preserve">associated with non-serving cell information in RRC (rather than being configured per aperiodic CSI-RS resource), and then the legacy MAC-CE for activating AP-CSI triggering sate is reused for dynamically enabling the measurement. </w:t>
      </w:r>
    </w:p>
    <w:p>
      <w:pPr>
        <w:pStyle w:val="111"/>
        <w:numPr>
          <w:ilvl w:val="1"/>
          <w:numId w:val="8"/>
        </w:numPr>
        <w:snapToGrid w:val="0"/>
        <w:spacing w:before="120" w:after="120" w:afterLines="50" w:line="300" w:lineRule="auto"/>
        <w:ind w:left="800" w:firstLineChars="0"/>
        <w:jc w:val="both"/>
        <w:rPr>
          <w:rFonts w:eastAsia="微软雅黑"/>
          <w:i/>
          <w:iCs/>
          <w:szCs w:val="20"/>
        </w:rPr>
      </w:pPr>
      <w:r>
        <w:rPr>
          <w:rFonts w:eastAsia="微软雅黑"/>
          <w:i/>
          <w:iCs/>
          <w:szCs w:val="20"/>
        </w:rPr>
        <w:t xml:space="preserve">Note that, compared with Rel-15/16, the legacy MAC-CE should be always used, regardless whether the number of RRC candidate triggering states is greater than the maximum number of candidate </w:t>
      </w:r>
      <w:r>
        <w:rPr>
          <w:rFonts w:hint="eastAsia" w:eastAsia="微软雅黑"/>
          <w:i/>
          <w:iCs/>
          <w:szCs w:val="20"/>
        </w:rPr>
        <w:t>codepoint</w:t>
      </w:r>
      <w:r>
        <w:rPr>
          <w:rFonts w:eastAsia="微软雅黑"/>
          <w:i/>
          <w:iCs/>
          <w:szCs w:val="20"/>
        </w:rPr>
        <w:t>s</w:t>
      </w:r>
      <w:r>
        <w:rPr>
          <w:rFonts w:hint="eastAsia" w:eastAsia="微软雅黑"/>
          <w:i/>
          <w:iCs/>
          <w:szCs w:val="20"/>
        </w:rPr>
        <w:t xml:space="preserve"> of CSI request field</w:t>
      </w:r>
      <w:r>
        <w:rPr>
          <w:rFonts w:eastAsia="微软雅黑"/>
          <w:i/>
          <w:iCs/>
          <w:szCs w:val="20"/>
        </w:rPr>
        <w:t xml:space="preserve"> in DCI.</w:t>
      </w:r>
    </w:p>
    <w:p>
      <w:pPr>
        <w:pStyle w:val="111"/>
        <w:numPr>
          <w:ilvl w:val="0"/>
          <w:numId w:val="8"/>
        </w:numPr>
        <w:snapToGrid w:val="0"/>
        <w:spacing w:before="120" w:after="120" w:afterLines="50" w:line="300" w:lineRule="auto"/>
        <w:ind w:left="400" w:firstLineChars="0"/>
        <w:jc w:val="both"/>
        <w:rPr>
          <w:rFonts w:eastAsia="微软雅黑"/>
          <w:i/>
          <w:iCs/>
          <w:szCs w:val="20"/>
        </w:rPr>
      </w:pPr>
      <w:r>
        <w:rPr>
          <w:rFonts w:eastAsia="微软雅黑"/>
          <w:i/>
          <w:iCs/>
          <w:szCs w:val="20"/>
        </w:rPr>
        <w:t xml:space="preserve">PDSCH rate matching and </w:t>
      </w:r>
      <w:r>
        <w:rPr>
          <w:rFonts w:hint="eastAsia" w:eastAsia="微软雅黑"/>
          <w:i/>
          <w:iCs/>
          <w:szCs w:val="20"/>
        </w:rPr>
        <w:t xml:space="preserve">available </w:t>
      </w:r>
      <w:r>
        <w:rPr>
          <w:rFonts w:eastAsia="微软雅黑"/>
          <w:i/>
          <w:iCs/>
          <w:szCs w:val="20"/>
        </w:rPr>
        <w:t>uplink transmission resources should be determined according to activated SSB of neighboring cell.</w:t>
      </w:r>
    </w:p>
    <w:p>
      <w:pPr>
        <w:pStyle w:val="111"/>
        <w:numPr>
          <w:ilvl w:val="0"/>
          <w:numId w:val="8"/>
        </w:numPr>
        <w:snapToGrid w:val="0"/>
        <w:spacing w:before="120" w:after="120" w:afterLines="50" w:line="300" w:lineRule="auto"/>
        <w:ind w:left="400" w:firstLineChars="0"/>
        <w:jc w:val="both"/>
        <w:rPr>
          <w:rFonts w:eastAsia="微软雅黑"/>
          <w:i/>
          <w:iCs/>
          <w:szCs w:val="20"/>
        </w:rPr>
      </w:pPr>
      <w:r>
        <w:rPr>
          <w:rFonts w:hint="eastAsia" w:eastAsia="微软雅黑"/>
          <w:i/>
          <w:iCs/>
          <w:szCs w:val="20"/>
        </w:rPr>
        <w:t xml:space="preserve">After SSB </w:t>
      </w:r>
      <w:r>
        <w:rPr>
          <w:rFonts w:eastAsia="微软雅黑"/>
          <w:i/>
          <w:iCs/>
          <w:szCs w:val="20"/>
        </w:rPr>
        <w:t>with</w:t>
      </w:r>
      <w:r>
        <w:rPr>
          <w:rFonts w:hint="eastAsia" w:eastAsia="微软雅黑"/>
          <w:i/>
          <w:iCs/>
          <w:szCs w:val="20"/>
        </w:rPr>
        <w:t xml:space="preserve"> </w:t>
      </w:r>
      <w:r>
        <w:rPr>
          <w:rFonts w:eastAsia="微软雅黑"/>
          <w:i/>
          <w:iCs/>
          <w:szCs w:val="20"/>
        </w:rPr>
        <w:t xml:space="preserve">different </w:t>
      </w:r>
      <w:r>
        <w:rPr>
          <w:rFonts w:hint="eastAsia" w:eastAsia="微软雅黑"/>
          <w:i/>
          <w:iCs/>
          <w:szCs w:val="20"/>
        </w:rPr>
        <w:t>PCI</w:t>
      </w:r>
      <w:r>
        <w:rPr>
          <w:rFonts w:eastAsia="微软雅黑"/>
          <w:i/>
          <w:iCs/>
          <w:szCs w:val="20"/>
        </w:rPr>
        <w:t xml:space="preserve"> from serving cell</w:t>
      </w:r>
      <w:r>
        <w:rPr>
          <w:rFonts w:hint="eastAsia" w:eastAsia="微软雅黑"/>
          <w:i/>
          <w:iCs/>
          <w:szCs w:val="20"/>
        </w:rPr>
        <w:t xml:space="preserve"> is activated, the SSB can be measured according to </w:t>
      </w:r>
      <w:r>
        <w:rPr>
          <w:rFonts w:eastAsia="微软雅黑"/>
          <w:i/>
          <w:iCs/>
          <w:szCs w:val="20"/>
        </w:rPr>
        <w:t xml:space="preserve">non-serving cell information (i.e., </w:t>
      </w:r>
      <w:r>
        <w:rPr>
          <w:rFonts w:hint="eastAsia" w:eastAsia="微软雅黑"/>
          <w:i/>
          <w:iCs/>
          <w:szCs w:val="20"/>
        </w:rPr>
        <w:t>SSB time domain pattern and periodicity</w:t>
      </w:r>
      <w:r>
        <w:rPr>
          <w:rFonts w:eastAsia="微软雅黑"/>
          <w:i/>
          <w:iCs/>
          <w:szCs w:val="20"/>
        </w:rPr>
        <w:t xml:space="preserve">) </w:t>
      </w:r>
      <w:r>
        <w:rPr>
          <w:rFonts w:hint="eastAsia" w:eastAsia="微软雅黑"/>
          <w:i/>
          <w:iCs/>
          <w:szCs w:val="20"/>
        </w:rPr>
        <w:t>without restriction of SMTC</w:t>
      </w:r>
      <w:r>
        <w:rPr>
          <w:rFonts w:eastAsia="微软雅黑"/>
          <w:i/>
          <w:iCs/>
          <w:szCs w:val="20"/>
        </w:rPr>
        <w:t>; otherwise, the SSB only can be measured in SMTC</w:t>
      </w:r>
      <w:r>
        <w:rPr>
          <w:rFonts w:hint="eastAsia" w:eastAsia="微软雅黑"/>
          <w:i/>
          <w:iCs/>
          <w:szCs w:val="20"/>
        </w:rPr>
        <w:t>.</w:t>
      </w:r>
    </w:p>
    <w:p>
      <w:pPr>
        <w:numPr>
          <w:ilvl w:val="2"/>
          <w:numId w:val="7"/>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UE-Initiated L1/L2 reporting of neighboring cell</w:t>
      </w:r>
    </w:p>
    <w:p>
      <w:pPr>
        <w:pStyle w:val="109"/>
        <w:numPr>
          <w:ilvl w:val="255"/>
          <w:numId w:val="0"/>
        </w:numPr>
        <w:snapToGrid w:val="0"/>
        <w:spacing w:before="60" w:beforeLines="25" w:after="60" w:afterLines="25" w:line="300" w:lineRule="auto"/>
        <w:jc w:val="both"/>
        <w:rPr>
          <w:rFonts w:eastAsia="宋体"/>
          <w:szCs w:val="20"/>
        </w:rPr>
      </w:pPr>
      <w:r>
        <w:rPr>
          <w:rFonts w:hint="eastAsia" w:eastAsia="宋体"/>
          <w:szCs w:val="20"/>
        </w:rPr>
        <w:t xml:space="preserve">In RAN1#106-e, there is following agreement about L1/L2-centric inter-cell reporting.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11"/>
              <w:numPr>
                <w:ilvl w:val="255"/>
                <w:numId w:val="0"/>
              </w:numPr>
              <w:autoSpaceDN w:val="0"/>
              <w:snapToGrid w:val="0"/>
              <w:spacing w:after="0" w:line="240" w:lineRule="auto"/>
              <w:rPr>
                <w:rFonts w:eastAsia="宋体" w:cs="Times"/>
                <w:b/>
                <w:bCs/>
                <w:szCs w:val="20"/>
                <w:u w:val="single"/>
              </w:rPr>
            </w:pPr>
            <w:r>
              <w:rPr>
                <w:rFonts w:cs="Times"/>
                <w:b/>
                <w:bCs/>
                <w:szCs w:val="20"/>
                <w:u w:val="single"/>
              </w:rPr>
              <w:t>Agreement</w:t>
            </w:r>
          </w:p>
          <w:p>
            <w:pPr>
              <w:snapToGrid w:val="0"/>
              <w:spacing w:after="60"/>
              <w:jc w:val="both"/>
              <w:rPr>
                <w:rFonts w:cs="Times"/>
              </w:rPr>
            </w:pPr>
            <w:r>
              <w:rPr>
                <w:rFonts w:cs="Times"/>
              </w:rPr>
              <w:t>On Rel.17 L1-RSRP multi-beam measurement/reporting enhancements for inter-cell beam management and inter-cell mTRP, in RAN1#106bis-e, select one of the following alternatives:</w:t>
            </w:r>
          </w:p>
          <w:p>
            <w:pPr>
              <w:numPr>
                <w:ilvl w:val="0"/>
                <w:numId w:val="19"/>
              </w:numPr>
              <w:snapToGrid w:val="0"/>
              <w:spacing w:after="60"/>
              <w:jc w:val="both"/>
              <w:rPr>
                <w:rFonts w:eastAsia="Times New Roman" w:cs="Times"/>
              </w:rPr>
            </w:pPr>
            <w:r>
              <w:rPr>
                <w:rFonts w:eastAsia="Times New Roman" w:cs="Times"/>
              </w:rPr>
              <w:t>Alt1. Support L1-based event-driven beam reporting for inter-cell beam management and inter-cell mTRP</w:t>
            </w:r>
          </w:p>
          <w:p>
            <w:pPr>
              <w:numPr>
                <w:ilvl w:val="0"/>
                <w:numId w:val="19"/>
              </w:numPr>
              <w:snapToGrid w:val="0"/>
              <w:spacing w:after="60"/>
              <w:jc w:val="both"/>
              <w:rPr>
                <w:rFonts w:eastAsia="Times New Roman" w:cs="Times"/>
              </w:rPr>
            </w:pPr>
            <w:r>
              <w:rPr>
                <w:rFonts w:eastAsia="Times New Roman" w:cs="Times"/>
              </w:rPr>
              <w:t>Alt2. Support MAC CE based event-driven beam reporting for inter-cell beam management and inter-cell mTRP</w:t>
            </w:r>
          </w:p>
          <w:p>
            <w:pPr>
              <w:numPr>
                <w:ilvl w:val="0"/>
                <w:numId w:val="19"/>
              </w:numPr>
              <w:snapToGrid w:val="0"/>
              <w:spacing w:after="60" w:line="240" w:lineRule="auto"/>
              <w:jc w:val="both"/>
              <w:rPr>
                <w:rFonts w:eastAsia="宋体"/>
                <w:szCs w:val="24"/>
              </w:rPr>
            </w:pPr>
            <w:r>
              <w:rPr>
                <w:rFonts w:eastAsia="Times New Roman" w:cs="Times"/>
              </w:rPr>
              <w:t>Alt3. In Rel-17, event-driven beam reporting is not supported for inter-cell beam management and inter-cell m</w:t>
            </w:r>
            <w:r>
              <w:rPr>
                <w:rFonts w:hint="eastAsia" w:eastAsia="宋体" w:cs="Times"/>
              </w:rPr>
              <w:t>TRP</w:t>
            </w:r>
          </w:p>
        </w:tc>
      </w:tr>
    </w:tbl>
    <w:p>
      <w:pPr>
        <w:pStyle w:val="109"/>
        <w:snapToGrid w:val="0"/>
        <w:spacing w:before="120" w:after="120" w:afterLines="50" w:line="300" w:lineRule="auto"/>
        <w:ind w:firstLine="0" w:firstLineChars="0"/>
        <w:jc w:val="both"/>
        <w:rPr>
          <w:rFonts w:eastAsia="宋体"/>
        </w:rPr>
      </w:pPr>
      <w:r>
        <w:rPr>
          <w:rFonts w:hint="eastAsia" w:eastAsia="宋体"/>
        </w:rPr>
        <w:t>Compared with NW-</w:t>
      </w:r>
      <w:r>
        <w:rPr>
          <w:rFonts w:eastAsia="宋体"/>
        </w:rPr>
        <w:t>initiated</w:t>
      </w:r>
      <w:r>
        <w:rPr>
          <w:rFonts w:hint="eastAsia" w:eastAsia="宋体"/>
        </w:rPr>
        <w:t xml:space="preserve"> L1/L2 reporting of neighboring cell, the latency of UE-</w:t>
      </w:r>
      <w:r>
        <w:rPr>
          <w:rFonts w:eastAsia="宋体"/>
        </w:rPr>
        <w:t>i</w:t>
      </w:r>
      <w:r>
        <w:rPr>
          <w:rFonts w:hint="eastAsia" w:eastAsia="宋体"/>
        </w:rPr>
        <w:t xml:space="preserve">nitiated L1/L2 reporting </w:t>
      </w:r>
      <w:r>
        <w:rPr>
          <w:rFonts w:eastAsia="宋体"/>
        </w:rPr>
        <w:t>should be much</w:t>
      </w:r>
      <w:r>
        <w:rPr>
          <w:rFonts w:hint="eastAsia" w:eastAsia="宋体"/>
        </w:rPr>
        <w:t xml:space="preserve"> smaller because the UE can initiate the L1 reporting for a neighboring cell </w:t>
      </w:r>
      <w:r>
        <w:rPr>
          <w:rFonts w:eastAsia="宋体"/>
        </w:rPr>
        <w:t xml:space="preserve">by trigger event </w:t>
      </w:r>
      <w:r>
        <w:rPr>
          <w:rFonts w:hint="eastAsia" w:eastAsia="宋体"/>
        </w:rPr>
        <w:t>without waiting for the signaling from gNB</w:t>
      </w:r>
      <w:r>
        <w:rPr>
          <w:rFonts w:eastAsia="宋体"/>
        </w:rPr>
        <w:t>,</w:t>
      </w:r>
      <w:r>
        <w:rPr>
          <w:rFonts w:hint="eastAsia" w:eastAsia="宋体"/>
        </w:rPr>
        <w:t xml:space="preserve"> and </w:t>
      </w:r>
      <w:r>
        <w:rPr>
          <w:rFonts w:eastAsia="宋体"/>
        </w:rPr>
        <w:t xml:space="preserve">meanwhile </w:t>
      </w:r>
      <w:r>
        <w:rPr>
          <w:rFonts w:hint="eastAsia" w:eastAsia="宋体"/>
        </w:rPr>
        <w:t xml:space="preserve">the L1 reporting on demand </w:t>
      </w:r>
      <w:r>
        <w:rPr>
          <w:rFonts w:eastAsia="宋体"/>
        </w:rPr>
        <w:t xml:space="preserve">can </w:t>
      </w:r>
      <w:r>
        <w:rPr>
          <w:rFonts w:hint="eastAsia" w:eastAsia="宋体"/>
        </w:rPr>
        <w:t xml:space="preserve">save </w:t>
      </w:r>
      <w:r>
        <w:rPr>
          <w:rFonts w:eastAsia="宋体"/>
        </w:rPr>
        <w:t xml:space="preserve">UE </w:t>
      </w:r>
      <w:r>
        <w:rPr>
          <w:rFonts w:hint="eastAsia" w:eastAsia="宋体"/>
        </w:rPr>
        <w:t xml:space="preserve">power </w:t>
      </w:r>
      <w:r>
        <w:rPr>
          <w:rFonts w:eastAsia="宋体"/>
        </w:rPr>
        <w:t xml:space="preserve">consumption significantly </w:t>
      </w:r>
      <w:r>
        <w:rPr>
          <w:rFonts w:hint="eastAsia" w:eastAsia="宋体"/>
        </w:rPr>
        <w:t>as BFR</w:t>
      </w:r>
      <w:r>
        <w:rPr>
          <w:rFonts w:eastAsia="宋体"/>
        </w:rPr>
        <w:t xml:space="preserve"> procedure</w:t>
      </w:r>
      <w:r>
        <w:rPr>
          <w:rFonts w:hint="eastAsia" w:eastAsia="宋体"/>
        </w:rPr>
        <w:t>.</w:t>
      </w:r>
      <w:r>
        <w:rPr>
          <w:rFonts w:eastAsia="宋体"/>
        </w:rPr>
        <w:t xml:space="preserve"> </w:t>
      </w:r>
      <w:r>
        <w:rPr>
          <w:rFonts w:hint="eastAsia" w:eastAsia="宋体"/>
        </w:rPr>
        <w:t>As the trigger event is based on L3 mobility, it can avoid too frequency reporting of neighboring cell. It can get good trade-off between power consumption and reporting in time</w:t>
      </w:r>
      <w:r>
        <w:rPr>
          <w:rFonts w:eastAsia="宋体"/>
        </w:rPr>
        <w:t>.</w:t>
      </w:r>
      <w:r>
        <w:rPr>
          <w:rFonts w:hint="eastAsia" w:eastAsia="宋体"/>
        </w:rPr>
        <w:t xml:space="preserve"> </w:t>
      </w:r>
    </w:p>
    <w:p>
      <w:pPr>
        <w:pStyle w:val="109"/>
        <w:snapToGrid w:val="0"/>
        <w:spacing w:before="120" w:after="120" w:afterLines="50" w:line="300" w:lineRule="auto"/>
        <w:ind w:firstLine="0" w:firstLineChars="0"/>
        <w:jc w:val="both"/>
        <w:rPr>
          <w:rFonts w:eastAsia="宋体"/>
        </w:rPr>
      </w:pPr>
      <w:r>
        <w:rPr>
          <w:rFonts w:hint="eastAsia" w:eastAsia="宋体"/>
        </w:rPr>
        <w:t xml:space="preserve">Comparing with Alt1, Alt2 can match the feature of event-triggered and save </w:t>
      </w:r>
      <w:r>
        <w:rPr>
          <w:rFonts w:eastAsia="宋体"/>
        </w:rPr>
        <w:t>much more</w:t>
      </w:r>
      <w:r>
        <w:rPr>
          <w:rFonts w:hint="eastAsia" w:eastAsia="宋体"/>
        </w:rPr>
        <w:t xml:space="preserve"> resource</w:t>
      </w:r>
      <w:r>
        <w:rPr>
          <w:rFonts w:eastAsia="宋体"/>
        </w:rPr>
        <w:t>s</w:t>
      </w:r>
      <w:r>
        <w:rPr>
          <w:rFonts w:hint="eastAsia" w:eastAsia="宋体"/>
        </w:rPr>
        <w:t xml:space="preserve"> because the dedicated PUCCH </w:t>
      </w:r>
      <w:r>
        <w:rPr>
          <w:rFonts w:eastAsia="宋体"/>
        </w:rPr>
        <w:t xml:space="preserve">does NOT </w:t>
      </w:r>
      <w:r>
        <w:rPr>
          <w:rFonts w:hint="eastAsia" w:eastAsia="宋体"/>
        </w:rPr>
        <w:t>need</w:t>
      </w:r>
      <w:r>
        <w:rPr>
          <w:rFonts w:eastAsia="宋体"/>
        </w:rPr>
        <w:t xml:space="preserve"> </w:t>
      </w:r>
      <w:r>
        <w:rPr>
          <w:rFonts w:hint="eastAsia" w:eastAsia="宋体"/>
        </w:rPr>
        <w:t xml:space="preserve">to be reserved. </w:t>
      </w:r>
    </w:p>
    <w:p>
      <w:pPr>
        <w:pStyle w:val="109"/>
        <w:numPr>
          <w:ilvl w:val="255"/>
          <w:numId w:val="0"/>
        </w:numPr>
        <w:snapToGrid w:val="0"/>
        <w:spacing w:before="120" w:after="120" w:afterLines="50" w:line="300" w:lineRule="auto"/>
        <w:jc w:val="both"/>
        <w:rPr>
          <w:rFonts w:eastAsia="宋体"/>
          <w:i/>
        </w:rPr>
      </w:pPr>
      <w:r>
        <w:rPr>
          <w:rFonts w:hint="eastAsia"/>
          <w:b/>
          <w:bCs/>
          <w:i/>
          <w:iCs/>
        </w:rPr>
        <w:t xml:space="preserve">Proposal </w:t>
      </w:r>
      <w:r>
        <w:rPr>
          <w:rFonts w:hint="eastAsia" w:eastAsia="宋体"/>
          <w:b/>
          <w:bCs/>
          <w:i/>
          <w:iCs/>
        </w:rPr>
        <w:t>1</w:t>
      </w:r>
      <w:r>
        <w:rPr>
          <w:rFonts w:eastAsia="宋体"/>
          <w:b/>
          <w:bCs/>
          <w:i/>
          <w:iCs/>
        </w:rPr>
        <w:t>2</w:t>
      </w:r>
      <w:r>
        <w:rPr>
          <w:rFonts w:hint="eastAsia"/>
          <w:b/>
          <w:bCs/>
          <w:i/>
          <w:iCs/>
        </w:rPr>
        <w:t>:</w:t>
      </w:r>
      <w:r>
        <w:rPr>
          <w:b/>
          <w:bCs/>
          <w:i/>
          <w:iCs/>
        </w:rPr>
        <w:t xml:space="preserve"> </w:t>
      </w:r>
      <w:r>
        <w:rPr>
          <w:rFonts w:eastAsia="微软雅黑"/>
          <w:i/>
          <w:szCs w:val="20"/>
        </w:rPr>
        <w:t>Support MAC CE based event-driven beam reporting for inter-cell beam management and inter-cell mTRP</w:t>
      </w:r>
      <w:r>
        <w:rPr>
          <w:rFonts w:eastAsia="宋体"/>
          <w:i/>
        </w:rPr>
        <w:t>.</w:t>
      </w:r>
    </w:p>
    <w:p>
      <w:pPr>
        <w:numPr>
          <w:ilvl w:val="2"/>
          <w:numId w:val="7"/>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 xml:space="preserve">Differential L1-RSRP </w:t>
      </w:r>
      <w:r>
        <w:rPr>
          <w:rFonts w:eastAsia="宋体"/>
          <w:b/>
          <w:sz w:val="21"/>
          <w:szCs w:val="20"/>
        </w:rPr>
        <w:t>and transmitting power per non-serving</w:t>
      </w:r>
      <w:r>
        <w:rPr>
          <w:rFonts w:hint="eastAsia" w:eastAsia="宋体"/>
          <w:b/>
          <w:sz w:val="21"/>
          <w:szCs w:val="20"/>
        </w:rPr>
        <w:t xml:space="preserve"> cell</w:t>
      </w:r>
    </w:p>
    <w:p>
      <w:pPr>
        <w:numPr>
          <w:ilvl w:val="255"/>
          <w:numId w:val="0"/>
        </w:numPr>
        <w:snapToGrid w:val="0"/>
        <w:spacing w:before="120" w:after="120" w:afterLines="50" w:line="300" w:lineRule="auto"/>
        <w:jc w:val="both"/>
        <w:rPr>
          <w:rFonts w:eastAsia="宋体"/>
        </w:rPr>
      </w:pPr>
      <w:r>
        <w:rPr>
          <w:rFonts w:eastAsia="宋体"/>
        </w:rPr>
        <w:t>In RAN1#104</w:t>
      </w:r>
      <w:r>
        <w:rPr>
          <w:rFonts w:hint="eastAsia" w:eastAsia="宋体"/>
        </w:rPr>
        <w:t>b-e</w:t>
      </w:r>
      <w:r>
        <w:rPr>
          <w:rFonts w:eastAsia="宋体"/>
        </w:rPr>
        <w:t xml:space="preserve">, some discussion on reporting format for L1/L2-centric inter-cell </w:t>
      </w:r>
      <w:r>
        <w:rPr>
          <w:rFonts w:hint="eastAsia" w:eastAsia="宋体"/>
        </w:rPr>
        <w:t>beam management</w:t>
      </w:r>
      <w:r>
        <w:rPr>
          <w:rFonts w:eastAsia="宋体"/>
        </w:rPr>
        <w:t xml:space="preserve"> was made, and then the following agreement was reached</w:t>
      </w:r>
      <w:r>
        <w:rPr>
          <w:rFonts w:hint="eastAsia" w:eastAsia="宋体"/>
        </w:rPr>
        <w:t xml:space="preserve">.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11"/>
              <w:numPr>
                <w:ilvl w:val="255"/>
                <w:numId w:val="0"/>
              </w:numPr>
              <w:autoSpaceDN w:val="0"/>
              <w:snapToGrid w:val="0"/>
              <w:spacing w:after="0"/>
              <w:jc w:val="both"/>
              <w:rPr>
                <w:rFonts w:cs="Times"/>
                <w:b/>
                <w:bCs/>
                <w:szCs w:val="20"/>
                <w:u w:val="single"/>
              </w:rPr>
            </w:pPr>
            <w:r>
              <w:rPr>
                <w:rFonts w:cs="Times"/>
                <w:b/>
                <w:bCs/>
                <w:szCs w:val="20"/>
                <w:u w:val="single"/>
              </w:rPr>
              <w:t>Agreement</w:t>
            </w:r>
          </w:p>
          <w:p>
            <w:pPr>
              <w:pStyle w:val="111"/>
              <w:numPr>
                <w:ilvl w:val="255"/>
                <w:numId w:val="0"/>
              </w:numPr>
              <w:autoSpaceDN w:val="0"/>
              <w:snapToGrid w:val="0"/>
              <w:spacing w:after="0" w:line="240" w:lineRule="auto"/>
              <w:jc w:val="both"/>
            </w:pPr>
            <w:r>
              <w:t xml:space="preserve">On Rel.17 multi-beam measurement/reporting </w:t>
            </w:r>
            <w:r>
              <w:rPr>
                <w:rFonts w:cs="Times"/>
              </w:rPr>
              <w:t>enhancements</w:t>
            </w:r>
            <w:r>
              <w:t xml:space="preserve"> </w:t>
            </w:r>
            <w:r>
              <w:rPr>
                <w:color w:val="000000"/>
              </w:rPr>
              <w:t>for L1/L2-centric inter-cell mobility and inter-cell mTRP</w:t>
            </w:r>
            <w:r>
              <w:t xml:space="preserve">, </w:t>
            </w:r>
          </w:p>
          <w:p>
            <w:pPr>
              <w:pStyle w:val="111"/>
              <w:numPr>
                <w:ilvl w:val="0"/>
                <w:numId w:val="20"/>
              </w:numPr>
              <w:autoSpaceDN w:val="0"/>
              <w:snapToGrid w:val="0"/>
              <w:spacing w:after="0" w:line="240" w:lineRule="auto"/>
              <w:ind w:firstLineChars="0"/>
              <w:jc w:val="both"/>
              <w:rPr>
                <w:lang w:eastAsia="ko-KR"/>
              </w:rPr>
            </w:pPr>
            <w:r>
              <w:rPr>
                <w:lang w:eastAsia="ko-KR"/>
              </w:rPr>
              <w:t xml:space="preserve">In one reporting instance, depending on NW configuration, beam(s) associated with a non-serving cell can be mixed with that associated with serving-cell </w:t>
            </w:r>
          </w:p>
          <w:p>
            <w:pPr>
              <w:pStyle w:val="111"/>
              <w:numPr>
                <w:ilvl w:val="1"/>
                <w:numId w:val="20"/>
              </w:numPr>
              <w:autoSpaceDN w:val="0"/>
              <w:snapToGrid w:val="0"/>
              <w:spacing w:after="0" w:line="240" w:lineRule="auto"/>
              <w:ind w:firstLineChars="0"/>
              <w:jc w:val="both"/>
              <w:rPr>
                <w:lang w:eastAsia="ko-KR"/>
              </w:rPr>
            </w:pPr>
            <w:r>
              <w:rPr>
                <w:lang w:eastAsia="ko-KR"/>
              </w:rPr>
              <w:t>FFS: whether this applies to periodic, semi-persistent, and/or aperiodic</w:t>
            </w:r>
          </w:p>
          <w:p>
            <w:pPr>
              <w:pStyle w:val="111"/>
              <w:numPr>
                <w:ilvl w:val="1"/>
                <w:numId w:val="20"/>
              </w:numPr>
              <w:autoSpaceDN w:val="0"/>
              <w:snapToGrid w:val="0"/>
              <w:spacing w:after="0" w:line="240" w:lineRule="auto"/>
              <w:ind w:firstLineChars="0"/>
              <w:jc w:val="both"/>
              <w:rPr>
                <w:lang w:eastAsia="ko-KR"/>
              </w:rPr>
            </w:pPr>
            <w:r>
              <w:rPr>
                <w:rFonts w:eastAsia="等线"/>
                <w:bCs/>
                <w:lang w:eastAsia="ko-KR"/>
              </w:rPr>
              <w:t>FFS: How to report the K beams and corresponding qualities if the Tx power among the non-serving cell and with serving-cell is not the same</w:t>
            </w:r>
          </w:p>
          <w:p>
            <w:pPr>
              <w:pStyle w:val="111"/>
              <w:numPr>
                <w:ilvl w:val="1"/>
                <w:numId w:val="20"/>
              </w:numPr>
              <w:autoSpaceDN w:val="0"/>
              <w:snapToGrid w:val="0"/>
              <w:spacing w:after="0" w:line="240" w:lineRule="auto"/>
              <w:ind w:firstLineChars="0"/>
              <w:jc w:val="both"/>
              <w:rPr>
                <w:rFonts w:eastAsiaTheme="minorEastAsia"/>
              </w:rPr>
            </w:pPr>
            <w:r>
              <w:rPr>
                <w:rFonts w:eastAsia="等线"/>
                <w:bCs/>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c>
      </w:tr>
    </w:tbl>
    <w:p>
      <w:pPr>
        <w:numPr>
          <w:ilvl w:val="255"/>
          <w:numId w:val="0"/>
        </w:numPr>
        <w:snapToGrid w:val="0"/>
        <w:spacing w:before="120" w:after="120" w:afterLines="50" w:line="300" w:lineRule="auto"/>
        <w:jc w:val="both"/>
        <w:rPr>
          <w:rFonts w:eastAsia="宋体"/>
        </w:rPr>
      </w:pPr>
      <w:r>
        <w:rPr>
          <w:rFonts w:hint="eastAsia" w:eastAsia="宋体"/>
        </w:rPr>
        <w:t>In order to report beams of serving cell and neighboring cell in one reporting and increase diversity and robustness of beams, the offset of L1-RSRP between beams of different cells can be larger than offset of L1-RSRP between beams of one cell.</w:t>
      </w:r>
      <w:r>
        <w:rPr>
          <w:rFonts w:eastAsia="宋体"/>
        </w:rPr>
        <w:t xml:space="preserve"> Then, in our views, d</w:t>
      </w:r>
      <w:r>
        <w:rPr>
          <w:rFonts w:hint="eastAsia" w:eastAsia="宋体"/>
        </w:rPr>
        <w:t xml:space="preserve">ifferential RSRP should be performed between beams of each </w:t>
      </w:r>
      <w:r>
        <w:rPr>
          <w:rFonts w:eastAsia="宋体"/>
        </w:rPr>
        <w:t xml:space="preserve">of non-serving/serving </w:t>
      </w:r>
      <w:r>
        <w:rPr>
          <w:rFonts w:hint="eastAsia" w:eastAsia="宋体"/>
        </w:rPr>
        <w:t xml:space="preserve">cell. </w:t>
      </w:r>
      <w:r>
        <w:rPr>
          <w:rFonts w:eastAsia="宋体"/>
        </w:rPr>
        <w:t>Specifically, t</w:t>
      </w:r>
      <w:r>
        <w:rPr>
          <w:rFonts w:hint="eastAsia" w:eastAsia="宋体"/>
        </w:rPr>
        <w:t xml:space="preserve">he UE reports the largest L1-RSRP </w:t>
      </w:r>
      <w:r>
        <w:rPr>
          <w:rFonts w:eastAsia="宋体"/>
        </w:rPr>
        <w:t xml:space="preserve">per non-serving </w:t>
      </w:r>
      <w:r>
        <w:rPr>
          <w:rFonts w:hint="eastAsia" w:eastAsia="宋体"/>
        </w:rPr>
        <w:t>cell</w:t>
      </w:r>
      <w:r>
        <w:rPr>
          <w:rFonts w:eastAsia="宋体"/>
        </w:rPr>
        <w:t>/serving cell</w:t>
      </w:r>
      <w:r>
        <w:rPr>
          <w:rFonts w:hint="eastAsia" w:eastAsia="宋体"/>
        </w:rPr>
        <w:t xml:space="preserve"> using absolute value and </w:t>
      </w:r>
      <w:r>
        <w:rPr>
          <w:rFonts w:eastAsia="宋体"/>
        </w:rPr>
        <w:t xml:space="preserve">then </w:t>
      </w:r>
      <w:r>
        <w:rPr>
          <w:rFonts w:hint="eastAsia" w:eastAsia="宋体"/>
        </w:rPr>
        <w:t xml:space="preserve">reports the differential L1-RSRP of remaining beams of </w:t>
      </w:r>
      <w:r>
        <w:rPr>
          <w:rFonts w:eastAsia="宋体"/>
        </w:rPr>
        <w:t xml:space="preserve">the non-serving/serving </w:t>
      </w:r>
      <w:r>
        <w:rPr>
          <w:rFonts w:hint="eastAsia" w:eastAsia="宋体"/>
        </w:rPr>
        <w:t>cell using differential L1-RSRP</w:t>
      </w:r>
      <w:r>
        <w:rPr>
          <w:rFonts w:eastAsia="宋体"/>
        </w:rPr>
        <w:t>.</w:t>
      </w:r>
      <w:r>
        <w:rPr>
          <w:rFonts w:hint="eastAsia" w:eastAsia="宋体"/>
        </w:rPr>
        <w:t xml:space="preserve"> </w:t>
      </w:r>
    </w:p>
    <w:p>
      <w:pPr>
        <w:pStyle w:val="109"/>
        <w:numPr>
          <w:ilvl w:val="255"/>
          <w:numId w:val="0"/>
        </w:numPr>
        <w:snapToGrid w:val="0"/>
        <w:spacing w:before="120" w:after="120" w:afterLines="50" w:line="300" w:lineRule="auto"/>
        <w:jc w:val="both"/>
        <w:rPr>
          <w:rFonts w:eastAsia="宋体"/>
        </w:rPr>
      </w:pPr>
      <w:r>
        <w:rPr>
          <w:rFonts w:hint="eastAsia"/>
          <w:b/>
          <w:bCs/>
          <w:i/>
          <w:iCs/>
        </w:rPr>
        <w:t xml:space="preserve">Proposal </w:t>
      </w:r>
      <w:r>
        <w:rPr>
          <w:rFonts w:hint="eastAsia" w:eastAsia="宋体"/>
          <w:b/>
          <w:bCs/>
          <w:i/>
          <w:iCs/>
        </w:rPr>
        <w:t>1</w:t>
      </w:r>
      <w:r>
        <w:rPr>
          <w:rFonts w:eastAsia="宋体"/>
          <w:b/>
          <w:bCs/>
          <w:i/>
          <w:iCs/>
        </w:rPr>
        <w:t>3</w:t>
      </w:r>
      <w:r>
        <w:rPr>
          <w:rFonts w:hint="eastAsia"/>
          <w:b/>
          <w:bCs/>
          <w:i/>
          <w:iCs/>
        </w:rPr>
        <w:t>:</w:t>
      </w:r>
      <w:r>
        <w:rPr>
          <w:b/>
          <w:bCs/>
          <w:i/>
          <w:iCs/>
        </w:rPr>
        <w:t xml:space="preserve"> </w:t>
      </w:r>
      <w:r>
        <w:rPr>
          <w:rFonts w:eastAsia="微软雅黑"/>
          <w:i/>
          <w:szCs w:val="20"/>
        </w:rPr>
        <w:t xml:space="preserve">Differential L1-RSRP should be performed per non-serving cell/serving cell, where beam(s) associated with a non-serving cell can be mixed with that associated with serving-cell in a reporting instance. </w:t>
      </w:r>
    </w:p>
    <w:p>
      <w:pPr>
        <w:numPr>
          <w:ilvl w:val="255"/>
          <w:numId w:val="0"/>
        </w:numPr>
        <w:snapToGrid w:val="0"/>
        <w:spacing w:before="120" w:after="120" w:afterLines="50" w:line="300" w:lineRule="auto"/>
        <w:jc w:val="both"/>
        <w:rPr>
          <w:rFonts w:eastAsia="宋体"/>
        </w:rPr>
      </w:pPr>
      <w:r>
        <w:rPr>
          <w:rFonts w:hint="eastAsia" w:eastAsia="宋体"/>
        </w:rPr>
        <w:t xml:space="preserve">The </w:t>
      </w:r>
      <w:r>
        <w:rPr>
          <w:rFonts w:eastAsia="宋体"/>
        </w:rPr>
        <w:t>transmit</w:t>
      </w:r>
      <w:r>
        <w:rPr>
          <w:rFonts w:hint="eastAsia" w:eastAsia="宋体"/>
        </w:rPr>
        <w:t xml:space="preserve"> power of SSBs from </w:t>
      </w:r>
      <w:r>
        <w:rPr>
          <w:rFonts w:eastAsia="宋体"/>
        </w:rPr>
        <w:t>different</w:t>
      </w:r>
      <w:r>
        <w:rPr>
          <w:rFonts w:hint="eastAsia" w:eastAsia="宋体"/>
        </w:rPr>
        <w:t xml:space="preserve"> cells can be different. If the L1/L2 reporting of neighboring cell is for scheduling downlink transmission, the </w:t>
      </w:r>
      <w:r>
        <w:rPr>
          <w:rFonts w:eastAsia="宋体"/>
        </w:rPr>
        <w:t xml:space="preserve">information of </w:t>
      </w:r>
      <w:r>
        <w:rPr>
          <w:rFonts w:hint="eastAsia" w:eastAsia="宋体"/>
        </w:rPr>
        <w:t>transmit</w:t>
      </w:r>
      <w:r>
        <w:rPr>
          <w:rFonts w:eastAsia="宋体"/>
        </w:rPr>
        <w:t xml:space="preserve"> </w:t>
      </w:r>
      <w:r>
        <w:rPr>
          <w:rFonts w:hint="eastAsia" w:eastAsia="宋体"/>
        </w:rPr>
        <w:t xml:space="preserve">power </w:t>
      </w:r>
      <w:r>
        <w:rPr>
          <w:rFonts w:eastAsia="宋体"/>
        </w:rPr>
        <w:t>may NOT be needed, and herein t</w:t>
      </w:r>
      <w:r>
        <w:rPr>
          <w:rFonts w:hint="eastAsia" w:eastAsia="宋体"/>
        </w:rPr>
        <w:t>he UE selects cell</w:t>
      </w:r>
      <w:r>
        <w:rPr>
          <w:rFonts w:eastAsia="宋体"/>
        </w:rPr>
        <w:t>(s)</w:t>
      </w:r>
      <w:r>
        <w:rPr>
          <w:rFonts w:hint="eastAsia" w:eastAsia="宋体"/>
        </w:rPr>
        <w:t xml:space="preserve"> and </w:t>
      </w:r>
      <w:r>
        <w:rPr>
          <w:rFonts w:eastAsia="宋体"/>
        </w:rPr>
        <w:t>beam(s) to be reported only</w:t>
      </w:r>
      <w:r>
        <w:rPr>
          <w:rFonts w:hint="eastAsia" w:eastAsia="宋体"/>
        </w:rPr>
        <w:t xml:space="preserve"> based on receiv</w:t>
      </w:r>
      <w:r>
        <w:rPr>
          <w:rFonts w:eastAsia="宋体"/>
        </w:rPr>
        <w:t>e</w:t>
      </w:r>
      <w:r>
        <w:rPr>
          <w:rFonts w:hint="eastAsia" w:eastAsia="宋体"/>
        </w:rPr>
        <w:t xml:space="preserve"> power</w:t>
      </w:r>
      <w:r>
        <w:rPr>
          <w:rFonts w:eastAsia="宋体"/>
        </w:rPr>
        <w:t>. However, i</w:t>
      </w:r>
      <w:r>
        <w:rPr>
          <w:rFonts w:hint="eastAsia" w:eastAsia="宋体"/>
        </w:rPr>
        <w:t xml:space="preserve">f the L1/L2 reporting of </w:t>
      </w:r>
      <w:r>
        <w:rPr>
          <w:rFonts w:eastAsia="宋体"/>
        </w:rPr>
        <w:t>non-serving</w:t>
      </w:r>
      <w:r>
        <w:rPr>
          <w:rFonts w:hint="eastAsia" w:eastAsia="宋体"/>
        </w:rPr>
        <w:t xml:space="preserve"> cell is used for scheduling uplink transmission, then the transmit power should be considered</w:t>
      </w:r>
      <w:r>
        <w:rPr>
          <w:rFonts w:eastAsia="宋体"/>
        </w:rPr>
        <w:t>:</w:t>
      </w:r>
      <w:r>
        <w:rPr>
          <w:rFonts w:hint="eastAsia" w:eastAsia="宋体"/>
        </w:rPr>
        <w:t xml:space="preserve"> </w:t>
      </w:r>
      <w:r>
        <w:rPr>
          <w:rFonts w:eastAsia="宋体"/>
        </w:rPr>
        <w:t>t</w:t>
      </w:r>
      <w:r>
        <w:rPr>
          <w:rFonts w:hint="eastAsia" w:eastAsia="宋体"/>
        </w:rPr>
        <w:t>he UE selects cell</w:t>
      </w:r>
      <w:r>
        <w:rPr>
          <w:rFonts w:eastAsia="宋体"/>
        </w:rPr>
        <w:t>(s)</w:t>
      </w:r>
      <w:r>
        <w:rPr>
          <w:rFonts w:hint="eastAsia" w:eastAsia="宋体"/>
        </w:rPr>
        <w:t xml:space="preserve"> and beam</w:t>
      </w:r>
      <w:r>
        <w:rPr>
          <w:rFonts w:eastAsia="宋体"/>
        </w:rPr>
        <w:t>(s)</w:t>
      </w:r>
      <w:r>
        <w:rPr>
          <w:rFonts w:hint="eastAsia" w:eastAsia="宋体"/>
        </w:rPr>
        <w:t xml:space="preserve"> based on difference between receiv</w:t>
      </w:r>
      <w:r>
        <w:rPr>
          <w:rFonts w:eastAsia="宋体"/>
        </w:rPr>
        <w:t>e</w:t>
      </w:r>
      <w:r>
        <w:rPr>
          <w:rFonts w:hint="eastAsia" w:eastAsia="宋体"/>
        </w:rPr>
        <w:t xml:space="preserve"> power and transm</w:t>
      </w:r>
      <w:r>
        <w:rPr>
          <w:rFonts w:eastAsia="宋体"/>
        </w:rPr>
        <w:t xml:space="preserve">it </w:t>
      </w:r>
      <w:r>
        <w:rPr>
          <w:rFonts w:hint="eastAsia" w:eastAsia="宋体"/>
        </w:rPr>
        <w:t xml:space="preserve">power </w:t>
      </w:r>
      <w:r>
        <w:rPr>
          <w:rFonts w:eastAsia="宋体"/>
        </w:rPr>
        <w:t>corresponding to</w:t>
      </w:r>
      <w:r>
        <w:rPr>
          <w:rFonts w:hint="eastAsia" w:eastAsia="宋体"/>
        </w:rPr>
        <w:t xml:space="preserve"> SSB. So</w:t>
      </w:r>
      <w:r>
        <w:rPr>
          <w:rFonts w:eastAsia="宋体"/>
        </w:rPr>
        <w:t>, it is recommended that, through configuring different reporting quantity parameters,</w:t>
      </w:r>
      <w:r>
        <w:rPr>
          <w:rFonts w:hint="eastAsia" w:eastAsia="宋体"/>
        </w:rPr>
        <w:t xml:space="preserve"> </w:t>
      </w:r>
      <w:r>
        <w:rPr>
          <w:rFonts w:eastAsia="宋体"/>
        </w:rPr>
        <w:t>the gNB can initialize</w:t>
      </w:r>
      <w:r>
        <w:rPr>
          <w:rFonts w:hint="eastAsia" w:eastAsia="宋体"/>
        </w:rPr>
        <w:t xml:space="preserve"> </w:t>
      </w:r>
      <w:r>
        <w:rPr>
          <w:rFonts w:eastAsia="宋体"/>
        </w:rPr>
        <w:t xml:space="preserve">an </w:t>
      </w:r>
      <w:r>
        <w:rPr>
          <w:rFonts w:hint="eastAsia" w:eastAsia="宋体"/>
        </w:rPr>
        <w:t>a</w:t>
      </w:r>
      <w:r>
        <w:rPr>
          <w:rFonts w:eastAsia="宋体"/>
        </w:rPr>
        <w:t>ppropriate</w:t>
      </w:r>
      <w:r>
        <w:rPr>
          <w:rFonts w:hint="eastAsia" w:eastAsia="宋体"/>
        </w:rPr>
        <w:t xml:space="preserve"> CSI-report</w:t>
      </w:r>
      <w:r>
        <w:rPr>
          <w:rFonts w:eastAsia="宋体"/>
        </w:rPr>
        <w:t xml:space="preserve"> with sufficient flexibility, e.g., based on </w:t>
      </w:r>
      <w:r>
        <w:rPr>
          <w:rFonts w:hint="eastAsia" w:eastAsia="宋体"/>
        </w:rPr>
        <w:t xml:space="preserve">L1-RSRP </w:t>
      </w:r>
      <w:r>
        <w:rPr>
          <w:rFonts w:eastAsia="宋体"/>
        </w:rPr>
        <w:t>or</w:t>
      </w:r>
      <w:r>
        <w:rPr>
          <w:rFonts w:hint="eastAsia" w:eastAsia="宋体"/>
        </w:rPr>
        <w:t xml:space="preserve"> difference between receiving L1-RSRP and </w:t>
      </w:r>
      <w:r>
        <w:rPr>
          <w:rFonts w:eastAsia="宋体"/>
        </w:rPr>
        <w:t>transmit</w:t>
      </w:r>
      <w:r>
        <w:rPr>
          <w:rFonts w:hint="eastAsia" w:eastAsia="宋体"/>
        </w:rPr>
        <w:t xml:space="preserve"> power</w:t>
      </w:r>
      <w:r>
        <w:rPr>
          <w:rFonts w:eastAsia="宋体"/>
        </w:rPr>
        <w:t>, like coupling loss</w:t>
      </w:r>
      <w:r>
        <w:rPr>
          <w:rFonts w:hint="eastAsia" w:eastAsia="宋体"/>
        </w:rPr>
        <w:t xml:space="preserve">. </w:t>
      </w:r>
    </w:p>
    <w:p>
      <w:pPr>
        <w:pStyle w:val="109"/>
        <w:snapToGrid w:val="0"/>
        <w:spacing w:before="120" w:after="120" w:afterLines="50" w:line="300" w:lineRule="auto"/>
        <w:ind w:firstLine="0" w:firstLineChars="0"/>
        <w:jc w:val="both"/>
        <w:rPr>
          <w:rFonts w:eastAsia="微软雅黑"/>
          <w:i/>
          <w:szCs w:val="20"/>
        </w:rPr>
      </w:pPr>
      <w:r>
        <w:rPr>
          <w:rFonts w:hint="eastAsia"/>
          <w:b/>
          <w:bCs/>
          <w:i/>
          <w:iCs/>
        </w:rPr>
        <w:t xml:space="preserve">Proposal </w:t>
      </w:r>
      <w:r>
        <w:rPr>
          <w:rFonts w:hint="eastAsia" w:eastAsia="宋体"/>
          <w:b/>
          <w:bCs/>
          <w:i/>
          <w:iCs/>
        </w:rPr>
        <w:t>1</w:t>
      </w:r>
      <w:r>
        <w:rPr>
          <w:rFonts w:eastAsia="宋体"/>
          <w:b/>
          <w:bCs/>
          <w:i/>
          <w:iCs/>
        </w:rPr>
        <w:t>4</w:t>
      </w:r>
      <w:r>
        <w:rPr>
          <w:rFonts w:hint="eastAsia"/>
          <w:b/>
          <w:bCs/>
          <w:i/>
          <w:iCs/>
        </w:rPr>
        <w:t>:</w:t>
      </w:r>
      <w:r>
        <w:rPr>
          <w:rFonts w:eastAsia="微软雅黑"/>
          <w:i/>
          <w:szCs w:val="20"/>
        </w:rPr>
        <w:t xml:space="preserve"> For L1/L2 reporting for non-serving cell measurement, gNB can select for a CSI reporting configuration a report quantity from ‘L1-RSRP’ and ‘difference between receiving L1-RSRP and transmit power’ (e.g., like coupling loss).</w:t>
      </w:r>
      <w:r>
        <w:rPr>
          <w:rFonts w:hint="eastAsia" w:eastAsia="微软雅黑"/>
          <w:i/>
          <w:szCs w:val="20"/>
        </w:rPr>
        <w:t xml:space="preserve"> </w:t>
      </w:r>
    </w:p>
    <w:p>
      <w:pPr>
        <w:numPr>
          <w:ilvl w:val="2"/>
          <w:numId w:val="7"/>
        </w:numPr>
        <w:tabs>
          <w:tab w:val="clear" w:pos="720"/>
        </w:tabs>
        <w:snapToGrid w:val="0"/>
        <w:spacing w:before="60" w:beforeLines="25" w:after="120" w:afterLines="50" w:line="240" w:lineRule="auto"/>
        <w:ind w:left="607" w:hanging="607"/>
        <w:jc w:val="both"/>
        <w:outlineLvl w:val="2"/>
        <w:rPr>
          <w:rFonts w:eastAsia="宋体"/>
          <w:b/>
          <w:sz w:val="21"/>
          <w:szCs w:val="20"/>
        </w:rPr>
      </w:pPr>
      <w:r>
        <w:rPr>
          <w:rFonts w:hint="eastAsia" w:eastAsia="宋体"/>
          <w:b/>
          <w:sz w:val="21"/>
          <w:szCs w:val="20"/>
        </w:rPr>
        <w:t xml:space="preserve">Different TCI state groups associated with different configuration </w:t>
      </w:r>
    </w:p>
    <w:p>
      <w:pPr>
        <w:snapToGrid w:val="0"/>
        <w:spacing w:before="60" w:beforeLines="25" w:after="120" w:afterLines="50" w:line="300" w:lineRule="auto"/>
        <w:jc w:val="both"/>
        <w:rPr>
          <w:rFonts w:eastAsia="宋体"/>
        </w:rPr>
      </w:pPr>
      <w:r>
        <w:rPr>
          <w:rFonts w:hint="eastAsia" w:eastAsia="宋体"/>
        </w:rPr>
        <w:t xml:space="preserve">In inter-cell MTRP section, </w:t>
      </w:r>
      <w:r>
        <w:rPr>
          <w:rFonts w:hint="eastAsia" w:eastAsia="宋体"/>
          <w:lang w:val="en-GB"/>
        </w:rPr>
        <w:t>different TCI state groups of a BWP can be associated with different cell configurations</w:t>
      </w:r>
      <w:r>
        <w:rPr>
          <w:rFonts w:hint="eastAsia" w:eastAsia="宋体"/>
        </w:rPr>
        <w:t xml:space="preserve"> </w:t>
      </w:r>
      <w:r>
        <w:rPr>
          <w:rFonts w:hint="eastAsia" w:eastAsia="宋体"/>
          <w:lang w:val="en-GB"/>
        </w:rPr>
        <w:t xml:space="preserve">such as PCI and </w:t>
      </w:r>
      <w:r>
        <w:rPr>
          <w:rFonts w:eastAsia="宋体"/>
          <w:lang w:val="en-GB"/>
        </w:rPr>
        <w:t>non-serving cell SSB information</w:t>
      </w:r>
      <w:r>
        <w:rPr>
          <w:rFonts w:hint="eastAsia" w:eastAsia="宋体"/>
          <w:lang w:val="en-GB"/>
        </w:rPr>
        <w:t>. So</w:t>
      </w:r>
      <w:r>
        <w:rPr>
          <w:rFonts w:hint="eastAsia" w:eastAsia="宋体"/>
        </w:rPr>
        <w:t xml:space="preserve"> each of the different TCI group is associated with a CORESET pool index in case of multi-DCI based multi-TRP,</w:t>
      </w:r>
      <w:r>
        <w:rPr>
          <w:rFonts w:eastAsia="宋体"/>
          <w:lang w:val="en-GB"/>
        </w:rPr>
        <w:t xml:space="preserve"> and thus the related RRC parameters are applied upon the corresponding TCI indication.</w:t>
      </w:r>
      <w:r>
        <w:rPr>
          <w:rFonts w:hint="eastAsia" w:eastAsia="宋体"/>
        </w:rPr>
        <w:t xml:space="preserve"> Setting association relationship between TCI state group and cell-related parameter needs group indication in each TCI state, so in the case of multi-DCI based multi-TRP transmission, setting relationship between TCI state group and cell-related parameter can be further replaced </w:t>
      </w:r>
      <w:r>
        <w:rPr>
          <w:rFonts w:eastAsia="宋体"/>
        </w:rPr>
        <w:t>with setting</w:t>
      </w:r>
      <w:r>
        <w:rPr>
          <w:rFonts w:hint="eastAsia" w:eastAsia="宋体"/>
        </w:rPr>
        <w:t xml:space="preserve"> association between CORESET pool index and cell-related </w:t>
      </w:r>
      <w:r>
        <w:rPr>
          <w:rFonts w:eastAsia="宋体"/>
        </w:rPr>
        <w:t xml:space="preserve">parameter. </w:t>
      </w:r>
    </w:p>
    <w:p>
      <w:pPr>
        <w:pStyle w:val="111"/>
        <w:numPr>
          <w:ilvl w:val="0"/>
          <w:numId w:val="8"/>
        </w:numPr>
        <w:snapToGrid w:val="0"/>
        <w:spacing w:before="60" w:beforeLines="25" w:after="120" w:afterLines="50" w:line="300" w:lineRule="auto"/>
        <w:ind w:left="400" w:firstLineChars="0"/>
        <w:jc w:val="both"/>
        <w:rPr>
          <w:rFonts w:eastAsia="宋体"/>
        </w:rPr>
      </w:pPr>
      <w:r>
        <w:rPr>
          <w:rFonts w:hint="eastAsia" w:eastAsia="宋体"/>
        </w:rPr>
        <w:t xml:space="preserve">For example, multiple </w:t>
      </w:r>
      <w:r>
        <w:rPr>
          <w:rFonts w:eastAsia="宋体"/>
        </w:rPr>
        <w:t>candidates of non-serving information can be preconfigured by RRC, and then one o</w:t>
      </w:r>
      <w:r>
        <w:rPr>
          <w:rFonts w:hint="eastAsia" w:eastAsia="宋体"/>
        </w:rPr>
        <w:t xml:space="preserve">f the multiple </w:t>
      </w:r>
      <w:r>
        <w:rPr>
          <w:rFonts w:eastAsia="宋体"/>
        </w:rPr>
        <w:t xml:space="preserve">candidates </w:t>
      </w:r>
      <w:r>
        <w:rPr>
          <w:rFonts w:hint="eastAsia" w:eastAsia="宋体"/>
        </w:rPr>
        <w:t xml:space="preserve">can be associated with one TCI state group, or one SSB resource for measurement as described in section 2.3.1. The association between TCI state groups and </w:t>
      </w:r>
      <w:r>
        <w:rPr>
          <w:rFonts w:eastAsia="宋体"/>
        </w:rPr>
        <w:t>non-serving cell information</w:t>
      </w:r>
      <w:r>
        <w:rPr>
          <w:rFonts w:hint="eastAsia" w:eastAsia="宋体"/>
        </w:rPr>
        <w:t xml:space="preserve"> can also be done by MAC-CE. The non-serving cell information is configured in UE-Specific </w:t>
      </w:r>
      <w:r>
        <w:rPr>
          <w:rFonts w:eastAsia="宋体"/>
        </w:rPr>
        <w:t>signaling</w:t>
      </w:r>
      <w:r>
        <w:rPr>
          <w:rFonts w:hint="eastAsia" w:eastAsia="宋体"/>
        </w:rPr>
        <w:t xml:space="preserve"> instead of cell specific </w:t>
      </w:r>
      <w:r>
        <w:rPr>
          <w:rFonts w:eastAsia="宋体"/>
        </w:rPr>
        <w:t>signaling</w:t>
      </w:r>
      <w:r>
        <w:rPr>
          <w:rFonts w:hint="eastAsia" w:eastAsia="宋体"/>
        </w:rPr>
        <w:t xml:space="preserve">. </w:t>
      </w:r>
    </w:p>
    <w:p>
      <w:pPr>
        <w:pStyle w:val="111"/>
        <w:numPr>
          <w:ilvl w:val="0"/>
          <w:numId w:val="8"/>
        </w:numPr>
        <w:snapToGrid w:val="0"/>
        <w:spacing w:before="60" w:beforeLines="25" w:after="120" w:afterLines="50" w:line="300" w:lineRule="auto"/>
        <w:ind w:left="400" w:firstLineChars="0"/>
        <w:jc w:val="both"/>
        <w:rPr>
          <w:rFonts w:eastAsia="宋体"/>
        </w:rPr>
      </w:pPr>
      <w:r>
        <w:rPr>
          <w:rFonts w:eastAsia="宋体"/>
        </w:rPr>
        <w:t xml:space="preserve">Note that, if there is no association with non-serving cell information, it implies that the TCI state group corresponds to </w:t>
      </w:r>
      <w:r>
        <w:rPr>
          <w:rFonts w:hint="eastAsia" w:eastAsia="宋体"/>
        </w:rPr>
        <w:t xml:space="preserve">configurations of PCI of </w:t>
      </w:r>
      <w:r>
        <w:rPr>
          <w:rFonts w:eastAsia="宋体"/>
        </w:rPr>
        <w:t>serving cell</w:t>
      </w:r>
      <w:r>
        <w:rPr>
          <w:rFonts w:hint="eastAsia" w:eastAsia="宋体"/>
        </w:rPr>
        <w:t>, i.e</w:t>
      </w:r>
      <w:r>
        <w:rPr>
          <w:rFonts w:eastAsia="宋体"/>
        </w:rPr>
        <w:t>.,</w:t>
      </w:r>
      <w:r>
        <w:rPr>
          <w:rFonts w:hint="eastAsia" w:eastAsia="宋体"/>
        </w:rPr>
        <w:t xml:space="preserve"> some configurations in common </w:t>
      </w:r>
      <w:r>
        <w:rPr>
          <w:rFonts w:eastAsia="宋体"/>
        </w:rPr>
        <w:t xml:space="preserve">signaling. </w:t>
      </w:r>
    </w:p>
    <w:p>
      <w:pPr>
        <w:snapToGrid w:val="0"/>
        <w:spacing w:before="60" w:beforeLines="25" w:after="60" w:afterLines="25" w:line="300" w:lineRule="auto"/>
        <w:jc w:val="both"/>
        <w:rPr>
          <w:rFonts w:eastAsia="微软雅黑"/>
          <w:i/>
          <w:iCs/>
          <w:szCs w:val="20"/>
        </w:rPr>
      </w:pPr>
      <w:r>
        <w:rPr>
          <w:rFonts w:hint="eastAsia" w:eastAsia="微软雅黑"/>
          <w:b/>
          <w:bCs/>
          <w:i/>
          <w:iCs/>
          <w:szCs w:val="20"/>
        </w:rPr>
        <w:t>Proposal 1</w:t>
      </w:r>
      <w:r>
        <w:rPr>
          <w:rFonts w:eastAsia="微软雅黑"/>
          <w:b/>
          <w:bCs/>
          <w:i/>
          <w:iCs/>
          <w:szCs w:val="20"/>
        </w:rPr>
        <w:t>5</w:t>
      </w:r>
      <w:r>
        <w:rPr>
          <w:rFonts w:hint="eastAsia" w:eastAsia="微软雅黑"/>
          <w:b/>
          <w:bCs/>
          <w:i/>
          <w:iCs/>
          <w:szCs w:val="20"/>
        </w:rPr>
        <w:t>:</w:t>
      </w:r>
      <w:r>
        <w:rPr>
          <w:rFonts w:eastAsia="微软雅黑"/>
          <w:i/>
          <w:iCs/>
          <w:szCs w:val="20"/>
        </w:rPr>
        <w:t xml:space="preserve"> </w:t>
      </w:r>
      <w:r>
        <w:rPr>
          <w:rFonts w:hint="eastAsia" w:eastAsia="微软雅黑"/>
          <w:i/>
          <w:iCs/>
          <w:szCs w:val="20"/>
        </w:rPr>
        <w:t xml:space="preserve">Serving cell and </w:t>
      </w:r>
      <w:r>
        <w:rPr>
          <w:rFonts w:eastAsia="微软雅黑"/>
          <w:i/>
          <w:iCs/>
          <w:szCs w:val="20"/>
        </w:rPr>
        <w:t>non-serving</w:t>
      </w:r>
      <w:r>
        <w:rPr>
          <w:rFonts w:hint="eastAsia" w:eastAsia="微软雅黑"/>
          <w:i/>
          <w:iCs/>
          <w:szCs w:val="20"/>
        </w:rPr>
        <w:t xml:space="preserve"> cell </w:t>
      </w:r>
      <w:r>
        <w:rPr>
          <w:rFonts w:eastAsia="微软雅黑"/>
          <w:i/>
          <w:iCs/>
          <w:szCs w:val="20"/>
        </w:rPr>
        <w:t xml:space="preserve">can correspond to the same </w:t>
      </w:r>
      <w:r>
        <w:rPr>
          <w:rFonts w:hint="eastAsia" w:eastAsia="微软雅黑"/>
          <w:i/>
          <w:iCs/>
          <w:szCs w:val="20"/>
        </w:rPr>
        <w:t xml:space="preserve">BWP </w:t>
      </w:r>
      <w:r>
        <w:rPr>
          <w:rFonts w:eastAsia="微软雅黑"/>
          <w:i/>
          <w:iCs/>
          <w:szCs w:val="20"/>
        </w:rPr>
        <w:t xml:space="preserve">but can be </w:t>
      </w:r>
      <w:r>
        <w:rPr>
          <w:rFonts w:hint="eastAsia" w:eastAsia="微软雅黑"/>
          <w:i/>
          <w:iCs/>
          <w:szCs w:val="20"/>
        </w:rPr>
        <w:t>associated with different TCI state groups</w:t>
      </w:r>
      <w:r>
        <w:rPr>
          <w:rFonts w:eastAsia="微软雅黑"/>
          <w:i/>
          <w:iCs/>
          <w:szCs w:val="20"/>
        </w:rPr>
        <w:t>,</w:t>
      </w:r>
      <w:r>
        <w:rPr>
          <w:rFonts w:hint="eastAsia" w:eastAsia="微软雅黑"/>
          <w:i/>
          <w:iCs/>
          <w:szCs w:val="20"/>
        </w:rPr>
        <w:t xml:space="preserve"> each of which </w:t>
      </w:r>
      <w:r>
        <w:rPr>
          <w:rFonts w:eastAsia="微软雅黑"/>
          <w:i/>
          <w:iCs/>
          <w:szCs w:val="20"/>
        </w:rPr>
        <w:t>can be</w:t>
      </w:r>
      <w:r>
        <w:rPr>
          <w:rFonts w:hint="eastAsia" w:eastAsia="微软雅黑"/>
          <w:i/>
          <w:iCs/>
          <w:szCs w:val="20"/>
        </w:rPr>
        <w:t xml:space="preserve"> associated with a</w:t>
      </w:r>
      <w:r>
        <w:rPr>
          <w:rFonts w:eastAsia="微软雅黑"/>
          <w:i/>
          <w:iCs/>
          <w:szCs w:val="20"/>
        </w:rPr>
        <w:t xml:space="preserve"> respective parameter </w:t>
      </w:r>
      <w:r>
        <w:rPr>
          <w:rFonts w:hint="eastAsia" w:eastAsia="微软雅黑"/>
          <w:i/>
          <w:iCs/>
          <w:szCs w:val="20"/>
        </w:rPr>
        <w:t>configuration</w:t>
      </w:r>
      <w:r>
        <w:rPr>
          <w:rFonts w:eastAsia="微软雅黑"/>
          <w:i/>
          <w:iCs/>
          <w:szCs w:val="20"/>
        </w:rPr>
        <w:t xml:space="preserve"> (e.g., </w:t>
      </w:r>
      <w:r>
        <w:rPr>
          <w:rFonts w:hint="eastAsia" w:eastAsia="微软雅黑"/>
          <w:i/>
          <w:iCs/>
          <w:szCs w:val="20"/>
        </w:rPr>
        <w:t>additionalPCIInfo</w:t>
      </w:r>
      <w:r>
        <w:rPr>
          <w:rFonts w:eastAsia="微软雅黑"/>
          <w:i/>
          <w:iCs/>
          <w:szCs w:val="20"/>
        </w:rPr>
        <w:t xml:space="preserve">) </w:t>
      </w:r>
      <w:r>
        <w:rPr>
          <w:rFonts w:hint="eastAsia" w:eastAsia="微软雅黑"/>
          <w:i/>
          <w:iCs/>
          <w:szCs w:val="20"/>
        </w:rPr>
        <w:t>including:</w:t>
      </w:r>
      <w:r>
        <w:rPr>
          <w:rFonts w:eastAsia="微软雅黑"/>
          <w:i/>
          <w:iCs/>
          <w:szCs w:val="20"/>
        </w:rPr>
        <w:t xml:space="preserve"> </w:t>
      </w:r>
      <w:r>
        <w:rPr>
          <w:rFonts w:hint="eastAsia" w:eastAsia="微软雅黑"/>
          <w:i/>
          <w:iCs/>
          <w:szCs w:val="20"/>
        </w:rPr>
        <w:t>PCI</w:t>
      </w:r>
      <w:r>
        <w:rPr>
          <w:rFonts w:eastAsia="微软雅黑"/>
          <w:i/>
          <w:iCs/>
          <w:szCs w:val="20"/>
        </w:rPr>
        <w:t>, SSB information</w:t>
      </w:r>
      <w:r>
        <w:rPr>
          <w:rFonts w:hint="eastAsia" w:eastAsia="微软雅黑"/>
          <w:i/>
          <w:iCs/>
          <w:szCs w:val="20"/>
        </w:rPr>
        <w:t>,</w:t>
      </w:r>
      <w:r>
        <w:rPr>
          <w:rFonts w:eastAsia="微软雅黑"/>
          <w:i/>
          <w:iCs/>
          <w:szCs w:val="20"/>
        </w:rPr>
        <w:t xml:space="preserve"> </w:t>
      </w:r>
      <w:r>
        <w:rPr>
          <w:rFonts w:hint="eastAsia" w:eastAsia="微软雅黑"/>
          <w:i/>
          <w:iCs/>
          <w:szCs w:val="20"/>
        </w:rPr>
        <w:t>RNTI, rate mat</w:t>
      </w:r>
      <w:r>
        <w:rPr>
          <w:rFonts w:eastAsia="微软雅黑"/>
          <w:i/>
          <w:iCs/>
          <w:szCs w:val="20"/>
        </w:rPr>
        <w:t>ch</w:t>
      </w:r>
      <w:r>
        <w:rPr>
          <w:rFonts w:hint="eastAsia" w:eastAsia="微软雅黑"/>
          <w:i/>
          <w:iCs/>
          <w:szCs w:val="20"/>
        </w:rPr>
        <w:t xml:space="preserve">ing, power control information </w:t>
      </w:r>
      <w:r>
        <w:rPr>
          <w:rFonts w:eastAsia="微软雅黑"/>
          <w:i/>
          <w:iCs/>
          <w:szCs w:val="20"/>
        </w:rPr>
        <w:t>.</w:t>
      </w:r>
    </w:p>
    <w:p>
      <w:pPr>
        <w:pStyle w:val="109"/>
        <w:numPr>
          <w:ilvl w:val="0"/>
          <w:numId w:val="8"/>
        </w:numPr>
        <w:snapToGrid w:val="0"/>
        <w:spacing w:before="60" w:beforeLines="25" w:after="60" w:afterLines="25" w:line="300" w:lineRule="auto"/>
        <w:ind w:left="400" w:firstLineChars="0"/>
        <w:jc w:val="both"/>
        <w:rPr>
          <w:rFonts w:eastAsia="微软雅黑"/>
          <w:i/>
          <w:szCs w:val="20"/>
        </w:rPr>
      </w:pPr>
      <w:r>
        <w:rPr>
          <w:rFonts w:eastAsia="微软雅黑"/>
          <w:i/>
          <w:szCs w:val="20"/>
        </w:rPr>
        <w:t>The parameter configuration is applied upon the corresponding TCI indication</w:t>
      </w:r>
      <w:r>
        <w:rPr>
          <w:rFonts w:hint="eastAsia" w:eastAsia="微软雅黑"/>
          <w:i/>
          <w:szCs w:val="20"/>
        </w:rPr>
        <w:t xml:space="preserve"> or CORESET pool </w:t>
      </w:r>
      <w:r>
        <w:rPr>
          <w:rFonts w:eastAsia="微软雅黑"/>
          <w:i/>
          <w:szCs w:val="20"/>
        </w:rPr>
        <w:t>index.</w:t>
      </w:r>
    </w:p>
    <w:p>
      <w:pPr>
        <w:pStyle w:val="109"/>
        <w:numPr>
          <w:ilvl w:val="0"/>
          <w:numId w:val="8"/>
        </w:numPr>
        <w:snapToGrid w:val="0"/>
        <w:spacing w:before="60" w:beforeLines="25" w:after="60" w:afterLines="25" w:line="300" w:lineRule="auto"/>
        <w:ind w:left="400" w:firstLineChars="0"/>
        <w:jc w:val="both"/>
        <w:rPr>
          <w:rFonts w:eastAsia="微软雅黑"/>
          <w:i/>
          <w:szCs w:val="20"/>
        </w:rPr>
      </w:pPr>
      <w:r>
        <w:rPr>
          <w:rFonts w:hint="eastAsia" w:eastAsia="微软雅黑"/>
          <w:i/>
          <w:szCs w:val="20"/>
        </w:rPr>
        <w:t xml:space="preserve">The association between configuration of cell and TCI state group (or CORESET pool index) can be done by MAC-CE. </w:t>
      </w:r>
    </w:p>
    <w:p>
      <w:pPr>
        <w:pStyle w:val="109"/>
        <w:numPr>
          <w:ilvl w:val="1"/>
          <w:numId w:val="8"/>
        </w:numPr>
        <w:snapToGrid w:val="0"/>
        <w:spacing w:before="60" w:beforeLines="25" w:after="60" w:afterLines="25" w:line="300" w:lineRule="auto"/>
        <w:ind w:left="800" w:firstLineChars="0"/>
        <w:jc w:val="both"/>
        <w:rPr>
          <w:rFonts w:eastAsia="微软雅黑"/>
          <w:i/>
          <w:szCs w:val="20"/>
        </w:rPr>
      </w:pPr>
      <w:r>
        <w:rPr>
          <w:rFonts w:eastAsia="宋体"/>
          <w:i/>
        </w:rPr>
        <w:t xml:space="preserve">Note: The TCI state group corresponds to </w:t>
      </w:r>
      <w:r>
        <w:rPr>
          <w:rFonts w:hint="eastAsia" w:eastAsia="宋体"/>
          <w:i/>
        </w:rPr>
        <w:t xml:space="preserve">configuration of  PCI of </w:t>
      </w:r>
      <w:r>
        <w:rPr>
          <w:rFonts w:eastAsia="宋体"/>
          <w:i/>
        </w:rPr>
        <w:t>serving cell, if the association is absent</w:t>
      </w:r>
    </w:p>
    <w:p>
      <w:pPr>
        <w:keepNext/>
        <w:widowControl w:val="0"/>
        <w:numPr>
          <w:ilvl w:val="0"/>
          <w:numId w:val="7"/>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UL beam selection for UE with multiple panels</w:t>
      </w:r>
    </w:p>
    <w:p>
      <w:pPr>
        <w:overflowPunct w:val="0"/>
        <w:autoSpaceDE w:val="0"/>
        <w:autoSpaceDN w:val="0"/>
        <w:adjustRightInd w:val="0"/>
        <w:snapToGrid w:val="0"/>
        <w:spacing w:before="60" w:beforeLines="25" w:after="120" w:line="300" w:lineRule="auto"/>
        <w:jc w:val="both"/>
        <w:textAlignment w:val="baseline"/>
        <w:rPr>
          <w:rFonts w:eastAsia="宋体"/>
          <w:szCs w:val="20"/>
        </w:rPr>
      </w:pPr>
      <w:r>
        <w:rPr>
          <w:rFonts w:hint="eastAsia" w:eastAsia="宋体"/>
          <w:szCs w:val="20"/>
        </w:rPr>
        <w:t>In Rel-17, it should be enhanced to facilitate UL beam selection for UE</w:t>
      </w:r>
      <w:r>
        <w:rPr>
          <w:rFonts w:eastAsia="宋体"/>
          <w:szCs w:val="20"/>
        </w:rPr>
        <w:t>(</w:t>
      </w:r>
      <w:r>
        <w:rPr>
          <w:rFonts w:hint="eastAsia" w:eastAsia="宋体"/>
          <w:szCs w:val="20"/>
        </w:rPr>
        <w:t>s</w:t>
      </w:r>
      <w:r>
        <w:rPr>
          <w:rFonts w:eastAsia="宋体"/>
          <w:szCs w:val="20"/>
        </w:rPr>
        <w:t>)</w:t>
      </w:r>
      <w:r>
        <w:rPr>
          <w:rFonts w:hint="eastAsia" w:eastAsia="宋体"/>
          <w:szCs w:val="20"/>
        </w:rPr>
        <w:t xml:space="preserve"> equipped with multiple panels, considering UL coverage loss mitigation due to MPE, based on UL beam indication with the unified TCI framework for UL fast panel selection.</w:t>
      </w:r>
    </w:p>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Fast panel selection and antenna switching for UL transmission</w:t>
      </w:r>
    </w:p>
    <w:p>
      <w:pPr>
        <w:overflowPunct w:val="0"/>
        <w:autoSpaceDE w:val="0"/>
        <w:autoSpaceDN w:val="0"/>
        <w:adjustRightInd w:val="0"/>
        <w:snapToGrid w:val="0"/>
        <w:spacing w:before="60" w:beforeLines="25" w:after="120" w:line="300" w:lineRule="auto"/>
        <w:jc w:val="both"/>
        <w:textAlignment w:val="baseline"/>
        <w:rPr>
          <w:rFonts w:eastAsia="宋体"/>
          <w:b/>
          <w:bCs/>
          <w:kern w:val="2"/>
          <w:sz w:val="24"/>
          <w:szCs w:val="24"/>
        </w:rPr>
      </w:pPr>
      <w:r>
        <w:rPr>
          <w:rFonts w:hint="eastAsia" w:eastAsia="微软雅黑"/>
          <w:szCs w:val="20"/>
        </w:rPr>
        <w:t xml:space="preserve">It has been discussed for several meetings on this topic, and the latest progress was reached in RAN1#106e as follows.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1" w:hRule="atLeast"/>
        </w:trPr>
        <w:tc>
          <w:tcPr>
            <w:tcW w:w="9576" w:type="dxa"/>
          </w:tcPr>
          <w:p>
            <w:pPr>
              <w:snapToGrid w:val="0"/>
              <w:spacing w:after="0" w:line="240" w:lineRule="auto"/>
              <w:contextualSpacing/>
              <w:rPr>
                <w:rFonts w:cs="Times"/>
                <w:b/>
                <w:bCs/>
                <w:szCs w:val="20"/>
                <w:u w:val="single"/>
              </w:rPr>
            </w:pPr>
            <w:r>
              <w:rPr>
                <w:rFonts w:cs="Times"/>
                <w:b/>
                <w:bCs/>
                <w:szCs w:val="20"/>
                <w:u w:val="single"/>
              </w:rPr>
              <w:t>Agreement</w:t>
            </w:r>
          </w:p>
          <w:p>
            <w:pPr>
              <w:spacing w:after="0" w:line="240" w:lineRule="auto"/>
              <w:rPr>
                <w:rFonts w:ascii="Times" w:hAnsi="Times" w:eastAsia="宋体" w:cs="Times"/>
              </w:rPr>
            </w:pPr>
            <w:r>
              <w:rPr>
                <w:rFonts w:ascii="Times" w:hAnsi="Times" w:eastAsia="Batang" w:cs="Times"/>
                <w:lang w:val="en-GB"/>
              </w:rPr>
              <w:t xml:space="preserve">On Rel.17 enhancements to facilitate UE -initiated panel activation and selection, down select </w:t>
            </w:r>
            <w:r>
              <w:rPr>
                <w:rFonts w:eastAsia="Batang" w:cs="Times"/>
                <w:bCs/>
                <w:lang w:val="en-GB"/>
              </w:rPr>
              <w:t xml:space="preserve">or modify </w:t>
            </w:r>
            <w:r>
              <w:rPr>
                <w:rFonts w:ascii="Times" w:hAnsi="Times" w:eastAsia="Batang" w:cs="Times"/>
                <w:lang w:val="en-GB"/>
              </w:rPr>
              <w:t>from the following two schemes in RAN1#106bis-e:</w:t>
            </w:r>
          </w:p>
          <w:p>
            <w:pPr>
              <w:numPr>
                <w:ilvl w:val="0"/>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Scheme 1:</w:t>
            </w:r>
          </w:p>
          <w:p>
            <w:pPr>
              <w:numPr>
                <w:ilvl w:val="1"/>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A panel entity corresponds to a reported CSI-RS and/or SSB resource index in a beam reporting instance (i.e. Opt1-1 per RAN1#104-bis-e agreement)</w:t>
            </w:r>
          </w:p>
          <w:p>
            <w:pPr>
              <w:numPr>
                <w:ilvl w:val="2"/>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The correspondence between a panel entity and a reported CSI-RS and/or SSB resource index is informed to NW</w:t>
            </w:r>
          </w:p>
          <w:p>
            <w:pPr>
              <w:numPr>
                <w:ilvl w:val="3"/>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FFS : Detailed design of how to inform the correspondence to NW</w:t>
            </w:r>
          </w:p>
          <w:p>
            <w:pPr>
              <w:numPr>
                <w:ilvl w:val="2"/>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Note: the correspondence between a CSI-RS and/or SSB resource index and a panel entity is determined by the UE (analogous to Rel-15/16)</w:t>
            </w:r>
          </w:p>
          <w:p>
            <w:pPr>
              <w:numPr>
                <w:ilvl w:val="1"/>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 xml:space="preserve">Support UE reporting of maximum number of SRS ports </w:t>
            </w:r>
            <w:r>
              <w:rPr>
                <w:rFonts w:ascii="Times" w:hAnsi="Times" w:eastAsia="Times New Roman"/>
                <w:bCs/>
                <w:szCs w:val="24"/>
                <w:lang w:val="en-GB" w:eastAsia="en-US"/>
              </w:rPr>
              <w:t xml:space="preserve">and coherence type </w:t>
            </w:r>
            <w:r>
              <w:rPr>
                <w:rFonts w:ascii="Times" w:hAnsi="Times" w:eastAsia="Times New Roman" w:cs="Times"/>
                <w:lang w:val="en-GB" w:eastAsia="en-US"/>
              </w:rPr>
              <w:t>for each panel entity as a UE capability</w:t>
            </w:r>
          </w:p>
          <w:p>
            <w:pPr>
              <w:numPr>
                <w:ilvl w:val="1"/>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Support multiple codebook-based SRS resource sets with different maximum number of SRS ports</w:t>
            </w:r>
          </w:p>
          <w:p>
            <w:pPr>
              <w:numPr>
                <w:ilvl w:val="2"/>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The indicated SRI is based on the SRS resources corresponding to one SRS resource set, where the SRS resource set should be aligned with the UE capability for the panel entity</w:t>
            </w:r>
          </w:p>
          <w:p>
            <w:pPr>
              <w:numPr>
                <w:ilvl w:val="0"/>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Scheme 2:</w:t>
            </w:r>
          </w:p>
          <w:p>
            <w:pPr>
              <w:numPr>
                <w:ilvl w:val="1"/>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Support UE reporting one of the following (to be down selected in RAN1#106bis-e):</w:t>
            </w:r>
          </w:p>
          <w:p>
            <w:pPr>
              <w:numPr>
                <w:ilvl w:val="2"/>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Opt1. A list of supported UL ranks (number of UL transmission layers)</w:t>
            </w:r>
          </w:p>
          <w:p>
            <w:pPr>
              <w:numPr>
                <w:ilvl w:val="2"/>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Opt2. A list of supported number of SRS antenna ports</w:t>
            </w:r>
          </w:p>
          <w:p>
            <w:pPr>
              <w:numPr>
                <w:ilvl w:val="2"/>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Opt3. A list of coherence types (as in Rel-15) indicating a subset of ports</w:t>
            </w:r>
          </w:p>
          <w:p>
            <w:pPr>
              <w:numPr>
                <w:ilvl w:val="1"/>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 xml:space="preserve">The NW configures an association between </w:t>
            </w:r>
            <w:r>
              <w:rPr>
                <w:rFonts w:ascii="Times" w:hAnsi="Times" w:eastAsia="Times New Roman"/>
                <w:bCs/>
                <w:szCs w:val="24"/>
                <w:lang w:val="en-GB" w:eastAsia="en-US"/>
              </w:rPr>
              <w:t xml:space="preserve">an </w:t>
            </w:r>
            <w:r>
              <w:rPr>
                <w:rFonts w:ascii="Times" w:hAnsi="Times" w:eastAsia="Times New Roman"/>
                <w:bCs/>
                <w:strike/>
                <w:color w:val="FF0000"/>
                <w:szCs w:val="24"/>
                <w:lang w:val="en-GB" w:eastAsia="en-US"/>
              </w:rPr>
              <w:t xml:space="preserve">rank </w:t>
            </w:r>
            <w:r>
              <w:rPr>
                <w:rFonts w:ascii="Times" w:hAnsi="Times" w:eastAsia="Times New Roman" w:cs="Times"/>
                <w:lang w:val="en-GB" w:eastAsia="en-US"/>
              </w:rPr>
              <w:t>index and rank/number of SRS antenna ports/</w:t>
            </w:r>
            <w:r>
              <w:rPr>
                <w:rFonts w:ascii="Times" w:hAnsi="Times" w:eastAsia="Times New Roman"/>
                <w:bCs/>
                <w:szCs w:val="24"/>
                <w:lang w:val="en-GB" w:eastAsia="en-US"/>
              </w:rPr>
              <w:t>coherence type</w:t>
            </w:r>
          </w:p>
          <w:p>
            <w:pPr>
              <w:numPr>
                <w:ilvl w:val="1"/>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Include </w:t>
            </w:r>
            <w:r>
              <w:rPr>
                <w:rFonts w:ascii="Times" w:hAnsi="Times" w:eastAsia="Times New Roman"/>
                <w:bCs/>
                <w:szCs w:val="24"/>
                <w:lang w:val="en-GB" w:eastAsia="en-US"/>
              </w:rPr>
              <w:t xml:space="preserve">at least one of </w:t>
            </w:r>
            <w:r>
              <w:rPr>
                <w:rFonts w:ascii="Times" w:hAnsi="Times" w:eastAsia="Times New Roman" w:cs="Times"/>
                <w:lang w:val="en-GB" w:eastAsia="en-US"/>
              </w:rPr>
              <w:t xml:space="preserve">the index, the maximum UL rank </w:t>
            </w:r>
            <w:r>
              <w:rPr>
                <w:rFonts w:ascii="Times" w:hAnsi="Times" w:eastAsia="Times New Roman"/>
                <w:bCs/>
                <w:szCs w:val="24"/>
                <w:lang w:val="en-GB" w:eastAsia="en-US"/>
              </w:rPr>
              <w:t>or SRS antenna ports or coherence type</w:t>
            </w:r>
            <w:r>
              <w:rPr>
                <w:rFonts w:ascii="Times" w:hAnsi="Times" w:eastAsia="Times New Roman" w:cs="Times"/>
                <w:lang w:val="en-GB" w:eastAsia="en-US"/>
              </w:rPr>
              <w:t xml:space="preserve"> corresponding to a reported SSBRI/CRI in a beam reporting instance</w:t>
            </w:r>
          </w:p>
          <w:p>
            <w:pPr>
              <w:numPr>
                <w:ilvl w:val="2"/>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FFS : timeline to apply above result in the beam report instance</w:t>
            </w:r>
          </w:p>
          <w:p>
            <w:pPr>
              <w:numPr>
                <w:ilvl w:val="1"/>
                <w:numId w:val="21"/>
              </w:numPr>
              <w:spacing w:after="0" w:line="240" w:lineRule="auto"/>
              <w:rPr>
                <w:rFonts w:ascii="Times" w:hAnsi="Times" w:eastAsia="Times New Roman" w:cs="Times"/>
                <w:lang w:val="en-GB" w:eastAsia="en-US"/>
              </w:rPr>
            </w:pPr>
            <w:r>
              <w:rPr>
                <w:rFonts w:ascii="Times" w:hAnsi="Times" w:eastAsia="Times New Roman" w:cs="Times"/>
                <w:lang w:val="en-GB" w:eastAsia="en-US"/>
              </w:rPr>
              <w:t>Support multiple codebook-based SRS resource sets with different number of SRS antenna ports</w:t>
            </w:r>
          </w:p>
          <w:p>
            <w:pPr>
              <w:numPr>
                <w:ilvl w:val="2"/>
                <w:numId w:val="21"/>
              </w:numPr>
              <w:spacing w:after="0" w:line="240" w:lineRule="auto"/>
              <w:rPr>
                <w:rFonts w:eastAsia="宋体"/>
                <w:b/>
                <w:bCs/>
                <w:kern w:val="2"/>
                <w:sz w:val="24"/>
                <w:szCs w:val="24"/>
              </w:rPr>
            </w:pPr>
            <w:r>
              <w:rPr>
                <w:rFonts w:ascii="Times" w:hAnsi="Times" w:eastAsia="Times New Roman" w:cs="Times"/>
                <w:lang w:val="en-GB" w:eastAsia="en-US"/>
              </w:rPr>
              <w:t>The indicated SRI is based on the SRS resources corresponding to one SRS resource set, where the SRS resource set should be aligned with the UE reported info corresponding to the index</w:t>
            </w:r>
          </w:p>
        </w:tc>
      </w:tr>
    </w:tbl>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Both schemes in above agreement support UE reporting capabilities related to panel. Panel entity is explicitly considered/defined in scheme 1 which is clearer than scheme 2 logically</w:t>
      </w:r>
      <w:r>
        <w:rPr>
          <w:rFonts w:eastAsia="微软雅黑"/>
          <w:szCs w:val="20"/>
        </w:rPr>
        <w:t>, especially considering the same UE capability (e.g., same number of supported SRS antenna ports) for different panels. Therefore, we prefer to go with Option-1 as a starting point and meanwhile consider some detailed procedure as discussed in Scheme-2.</w:t>
      </w:r>
    </w:p>
    <w:p>
      <w:pPr>
        <w:pStyle w:val="111"/>
        <w:numPr>
          <w:ilvl w:val="0"/>
          <w:numId w:val="8"/>
        </w:numPr>
        <w:overflowPunct w:val="0"/>
        <w:autoSpaceDE w:val="0"/>
        <w:autoSpaceDN w:val="0"/>
        <w:adjustRightInd w:val="0"/>
        <w:snapToGrid w:val="0"/>
        <w:spacing w:before="60" w:beforeLines="25" w:after="120" w:afterLines="50" w:line="300" w:lineRule="auto"/>
        <w:ind w:left="400" w:firstLineChars="0"/>
        <w:jc w:val="both"/>
        <w:textAlignment w:val="baseline"/>
        <w:rPr>
          <w:rFonts w:eastAsia="微软雅黑"/>
          <w:szCs w:val="20"/>
        </w:rPr>
      </w:pPr>
      <w:r>
        <w:rPr>
          <w:rFonts w:eastAsia="微软雅黑"/>
          <w:szCs w:val="20"/>
        </w:rPr>
        <w:t xml:space="preserve">Regarding UE-initiated UL panel selection/activation, </w:t>
      </w:r>
      <w:r>
        <w:rPr>
          <w:szCs w:val="20"/>
        </w:rPr>
        <w:t xml:space="preserve">UE can also control the panel activation </w:t>
      </w:r>
      <w:r>
        <w:rPr>
          <w:szCs w:val="20"/>
          <w:lang w:val="en-GB"/>
        </w:rPr>
        <w:t>and</w:t>
      </w:r>
      <w:r>
        <w:rPr>
          <w:szCs w:val="20"/>
        </w:rPr>
        <w:t xml:space="preserve"> deactivation as a UE driven event, and, in order to guarantee panel indication </w:t>
      </w:r>
      <w:r>
        <w:rPr>
          <w:rFonts w:eastAsia="微软雅黑"/>
          <w:szCs w:val="20"/>
          <w:lang w:val="en-GB"/>
        </w:rPr>
        <w:t>for</w:t>
      </w:r>
      <w:r>
        <w:rPr>
          <w:szCs w:val="20"/>
        </w:rPr>
        <w:t xml:space="preserve"> UL transmission, the </w:t>
      </w:r>
      <w:r>
        <w:rPr>
          <w:rFonts w:eastAsia="宋体"/>
        </w:rPr>
        <w:t>state</w:t>
      </w:r>
      <w:r>
        <w:rPr>
          <w:szCs w:val="20"/>
        </w:rPr>
        <w:t xml:space="preserve"> of panel, e.g., active or inactive, to be used for DL/UL transmission should be reported through panel-specific </w:t>
      </w:r>
      <w:r>
        <w:rPr>
          <w:rFonts w:eastAsia="微软雅黑"/>
          <w:szCs w:val="20"/>
        </w:rPr>
        <w:t>reporting</w:t>
      </w:r>
      <w:r>
        <w:rPr>
          <w:szCs w:val="20"/>
        </w:rPr>
        <w:t xml:space="preserve"> to gNB side.</w:t>
      </w:r>
    </w:p>
    <w:p>
      <w:pPr>
        <w:pStyle w:val="111"/>
        <w:numPr>
          <w:ilvl w:val="1"/>
          <w:numId w:val="8"/>
        </w:numPr>
        <w:snapToGrid w:val="0"/>
        <w:spacing w:before="60" w:beforeLines="25" w:after="120" w:afterLines="50" w:line="300" w:lineRule="auto"/>
        <w:ind w:left="851" w:firstLineChars="0"/>
        <w:jc w:val="both"/>
        <w:rPr>
          <w:szCs w:val="20"/>
        </w:rPr>
      </w:pPr>
      <w:r>
        <w:rPr>
          <w:rFonts w:eastAsia="微软雅黑"/>
          <w:szCs w:val="20"/>
        </w:rPr>
        <w:t>UL</w:t>
      </w:r>
      <w:r>
        <w:rPr>
          <w:szCs w:val="20"/>
        </w:rPr>
        <w:t xml:space="preserve"> Tx panel(s) are assumed to be a same set or subset of DL Rx panel(s). Straightforwardly, a list of activated DL+UL and DL-only UE panel ID(s) can be reported by UE via group based reporting (i.e., panel-specific reporting as discussed in item 2-c), and the corresponding state of UE panel(s) can be reported together (e.g., a 1-bit flag to represent ‘DL+UL’ or ‘DL only’). One example for state switching for UE panel operation can be found in Figure </w:t>
      </w:r>
      <w:r>
        <w:rPr>
          <w:rFonts w:hint="eastAsia" w:eastAsia="宋体"/>
          <w:szCs w:val="20"/>
        </w:rPr>
        <w:t>2</w:t>
      </w:r>
      <w:r>
        <w:rPr>
          <w:szCs w:val="20"/>
        </w:rPr>
        <w:t>.</w:t>
      </w:r>
    </w:p>
    <w:p>
      <w:pPr>
        <w:pStyle w:val="111"/>
        <w:numPr>
          <w:ilvl w:val="0"/>
          <w:numId w:val="8"/>
        </w:numPr>
        <w:overflowPunct w:val="0"/>
        <w:autoSpaceDE w:val="0"/>
        <w:autoSpaceDN w:val="0"/>
        <w:adjustRightInd w:val="0"/>
        <w:snapToGrid w:val="0"/>
        <w:spacing w:before="60" w:beforeLines="25" w:after="120" w:afterLines="50" w:line="300" w:lineRule="auto"/>
        <w:ind w:left="400" w:firstLineChars="0"/>
        <w:jc w:val="both"/>
        <w:textAlignment w:val="baseline"/>
        <w:rPr>
          <w:rFonts w:eastAsia="微软雅黑"/>
          <w:szCs w:val="20"/>
        </w:rPr>
      </w:pPr>
      <w:r>
        <w:rPr>
          <w:rFonts w:eastAsia="微软雅黑"/>
          <w:szCs w:val="20"/>
        </w:rPr>
        <w:t>Then, in order to dynamically report the panel related UL transmission capabilities, s</w:t>
      </w:r>
      <w:r>
        <w:rPr>
          <w:rFonts w:hint="eastAsia" w:eastAsia="微软雅黑"/>
          <w:szCs w:val="20"/>
        </w:rPr>
        <w:t>uch as maximum number of SRS ports, number of UL transmission layers, per panel entity,</w:t>
      </w:r>
      <w:r>
        <w:rPr>
          <w:rFonts w:eastAsia="微软雅黑"/>
          <w:szCs w:val="20"/>
        </w:rPr>
        <w:t xml:space="preserve"> </w:t>
      </w:r>
      <w:r>
        <w:rPr>
          <w:rFonts w:hint="eastAsia" w:eastAsia="微软雅黑"/>
          <w:szCs w:val="20"/>
        </w:rPr>
        <w:t>t</w:t>
      </w:r>
      <w:r>
        <w:rPr>
          <w:rFonts w:eastAsia="微软雅黑"/>
          <w:szCs w:val="20"/>
        </w:rPr>
        <w:t>he</w:t>
      </w:r>
      <w:r>
        <w:rPr>
          <w:rFonts w:hint="eastAsia" w:eastAsia="微软雅黑"/>
          <w:szCs w:val="20"/>
        </w:rPr>
        <w:t xml:space="preserve"> </w:t>
      </w:r>
      <w:r>
        <w:rPr>
          <w:rFonts w:eastAsia="微软雅黑"/>
          <w:szCs w:val="20"/>
        </w:rPr>
        <w:t xml:space="preserve">NW </w:t>
      </w:r>
      <w:r>
        <w:rPr>
          <w:rFonts w:hint="eastAsia" w:eastAsia="微软雅黑"/>
          <w:szCs w:val="20"/>
        </w:rPr>
        <w:t xml:space="preserve">may confirm/configure a </w:t>
      </w:r>
      <w:r>
        <w:rPr>
          <w:rFonts w:eastAsia="微软雅黑"/>
          <w:szCs w:val="20"/>
        </w:rPr>
        <w:t xml:space="preserve">list </w:t>
      </w:r>
      <w:r>
        <w:rPr>
          <w:rFonts w:hint="eastAsia" w:eastAsia="微软雅黑"/>
          <w:szCs w:val="20"/>
        </w:rPr>
        <w:t>of panel related capabilities UE reported explicitly</w:t>
      </w:r>
      <w:r>
        <w:rPr>
          <w:rFonts w:eastAsia="微软雅黑"/>
          <w:szCs w:val="20"/>
        </w:rPr>
        <w:t>, which can be called as transmission mode(s), as a response</w:t>
      </w:r>
      <w:r>
        <w:rPr>
          <w:rFonts w:hint="eastAsia" w:eastAsia="微软雅黑"/>
          <w:szCs w:val="20"/>
        </w:rPr>
        <w:t xml:space="preserve">. </w:t>
      </w:r>
    </w:p>
    <w:p>
      <w:pPr>
        <w:pStyle w:val="111"/>
        <w:numPr>
          <w:ilvl w:val="1"/>
          <w:numId w:val="8"/>
        </w:numPr>
        <w:overflowPunct w:val="0"/>
        <w:autoSpaceDE w:val="0"/>
        <w:autoSpaceDN w:val="0"/>
        <w:adjustRightInd w:val="0"/>
        <w:snapToGrid w:val="0"/>
        <w:spacing w:before="60" w:beforeLines="25" w:after="120" w:afterLines="50" w:line="300" w:lineRule="auto"/>
        <w:ind w:left="851" w:firstLineChars="0"/>
        <w:jc w:val="both"/>
        <w:textAlignment w:val="baseline"/>
        <w:rPr>
          <w:rFonts w:eastAsia="微软雅黑"/>
          <w:szCs w:val="20"/>
        </w:rPr>
      </w:pPr>
      <w:r>
        <w:rPr>
          <w:rFonts w:eastAsia="微软雅黑"/>
          <w:szCs w:val="20"/>
        </w:rPr>
        <w:t>The NW configures an association between transmission mode indexes and the panel entity index or rank/number of SRS antenna ports, and then based on the legacy beam reporting or MAC-CE, UE can report the respective transmission mode indexes corresponding to each of reported SSBRI/CRI.</w:t>
      </w:r>
    </w:p>
    <w:p>
      <w:pPr>
        <w:pStyle w:val="111"/>
        <w:numPr>
          <w:ilvl w:val="1"/>
          <w:numId w:val="8"/>
        </w:numPr>
        <w:overflowPunct w:val="0"/>
        <w:autoSpaceDE w:val="0"/>
        <w:autoSpaceDN w:val="0"/>
        <w:adjustRightInd w:val="0"/>
        <w:snapToGrid w:val="0"/>
        <w:spacing w:before="60" w:beforeLines="25" w:after="120" w:afterLines="50" w:line="300" w:lineRule="auto"/>
        <w:ind w:left="851" w:firstLineChars="0"/>
        <w:jc w:val="both"/>
        <w:textAlignment w:val="baseline"/>
        <w:rPr>
          <w:rFonts w:eastAsia="微软雅黑"/>
          <w:szCs w:val="20"/>
        </w:rPr>
      </w:pPr>
      <w:r>
        <w:rPr>
          <w:rFonts w:eastAsia="微软雅黑"/>
          <w:szCs w:val="20"/>
        </w:rPr>
        <w:t>In order to guarantee the reliability of MPUE operation, the gNB response for the above report is necessary. For instance, the above results in beam report or MAC-CE are applied X symbols after receiving gNB acknowledge for the report.</w:t>
      </w:r>
    </w:p>
    <w:p>
      <w:pPr>
        <w:pStyle w:val="111"/>
        <w:numPr>
          <w:ilvl w:val="0"/>
          <w:numId w:val="8"/>
        </w:numPr>
        <w:overflowPunct w:val="0"/>
        <w:autoSpaceDE w:val="0"/>
        <w:autoSpaceDN w:val="0"/>
        <w:adjustRightInd w:val="0"/>
        <w:snapToGrid w:val="0"/>
        <w:spacing w:before="60" w:beforeLines="25" w:after="120" w:afterLines="50" w:line="300" w:lineRule="auto"/>
        <w:ind w:left="400" w:firstLineChars="0"/>
        <w:jc w:val="both"/>
        <w:textAlignment w:val="baseline"/>
        <w:rPr>
          <w:rFonts w:eastAsia="微软雅黑"/>
          <w:szCs w:val="20"/>
        </w:rPr>
      </w:pPr>
      <w:r>
        <w:rPr>
          <w:rFonts w:eastAsia="微软雅黑"/>
          <w:szCs w:val="20"/>
        </w:rPr>
        <w:t>Besides, the consideration of dynamical TRP switching for different SRS resource sets has been taken on for Rel-17 mTRP-PUSCH transmission, and then the corresponding DCI signaling enhancement can be reused directly.</w:t>
      </w:r>
      <w:r>
        <w:rPr>
          <w:rFonts w:hint="eastAsia" w:eastAsia="微软雅黑"/>
          <w:szCs w:val="20"/>
        </w:rPr>
        <w:t xml:space="preserve"> </w:t>
      </w:r>
    </w:p>
    <w:p>
      <w:pPr>
        <w:pStyle w:val="111"/>
        <w:snapToGrid w:val="0"/>
        <w:spacing w:before="120" w:after="120" w:afterLines="50" w:line="300" w:lineRule="auto"/>
        <w:ind w:left="780" w:firstLine="0" w:firstLineChars="0"/>
        <w:jc w:val="center"/>
      </w:pPr>
      <w:r>
        <w:object>
          <v:shape id="_x0000_i1027" o:spt="75" type="#_x0000_t75" style="height:210pt;width:306.3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numPr>
          <w:ilvl w:val="255"/>
          <w:numId w:val="0"/>
        </w:numPr>
        <w:overflowPunct w:val="0"/>
        <w:autoSpaceDE w:val="0"/>
        <w:autoSpaceDN w:val="0"/>
        <w:adjustRightInd w:val="0"/>
        <w:snapToGrid w:val="0"/>
        <w:spacing w:before="60" w:beforeLines="25" w:after="120" w:line="300" w:lineRule="auto"/>
        <w:jc w:val="center"/>
        <w:textAlignment w:val="baseline"/>
        <w:rPr>
          <w:rFonts w:eastAsia="宋体"/>
          <w:color w:val="0000FF"/>
        </w:rPr>
      </w:pPr>
      <w:r>
        <w:rPr>
          <w:rFonts w:hint="eastAsia"/>
          <w:b/>
          <w:szCs w:val="20"/>
        </w:rPr>
        <w:t>Fig</w:t>
      </w:r>
      <w:r>
        <w:rPr>
          <w:b/>
          <w:szCs w:val="20"/>
        </w:rPr>
        <w:t xml:space="preserve">ure </w:t>
      </w:r>
      <w:r>
        <w:rPr>
          <w:rFonts w:hint="eastAsia" w:eastAsia="宋体"/>
          <w:b/>
          <w:szCs w:val="20"/>
        </w:rPr>
        <w:t>2</w:t>
      </w:r>
      <w:r>
        <w:rPr>
          <w:rFonts w:hint="eastAsia"/>
          <w:szCs w:val="20"/>
        </w:rPr>
        <w:t xml:space="preserve"> </w:t>
      </w:r>
      <w:r>
        <w:rPr>
          <w:szCs w:val="20"/>
        </w:rPr>
        <w:t>State switching for UE panel operation</w:t>
      </w:r>
    </w:p>
    <w:p>
      <w:pPr>
        <w:snapToGrid w:val="0"/>
        <w:spacing w:before="60" w:beforeLines="25" w:after="120" w:afterLines="50" w:line="300" w:lineRule="auto"/>
        <w:jc w:val="both"/>
        <w:rPr>
          <w:rFonts w:eastAsia="微软雅黑"/>
          <w:szCs w:val="20"/>
        </w:rPr>
      </w:pPr>
      <w:r>
        <w:rPr>
          <w:rFonts w:eastAsia="微软雅黑"/>
          <w:szCs w:val="20"/>
        </w:rPr>
        <w:t>Hence we have the following proposal for merging Scheme-1 and Scheme-2</w:t>
      </w:r>
      <w:r>
        <w:rPr>
          <w:rFonts w:hint="eastAsia" w:eastAsia="微软雅黑"/>
          <w:szCs w:val="20"/>
        </w:rPr>
        <w:t>.</w:t>
      </w:r>
    </w:p>
    <w:p>
      <w:pPr>
        <w:snapToGrid w:val="0"/>
        <w:spacing w:before="60" w:beforeLines="25" w:after="60" w:afterLines="25" w:line="300" w:lineRule="auto"/>
        <w:jc w:val="both"/>
        <w:rPr>
          <w:rFonts w:eastAsia="微软雅黑"/>
          <w:b/>
          <w:i/>
          <w:szCs w:val="20"/>
        </w:rPr>
      </w:pPr>
      <w:r>
        <w:rPr>
          <w:rFonts w:eastAsia="微软雅黑"/>
          <w:b/>
          <w:i/>
          <w:szCs w:val="20"/>
        </w:rPr>
        <w:t>Proposal 1</w:t>
      </w:r>
      <w:r>
        <w:rPr>
          <w:rFonts w:hint="eastAsia" w:eastAsia="微软雅黑"/>
          <w:b/>
          <w:i/>
          <w:szCs w:val="20"/>
        </w:rPr>
        <w:t>6</w:t>
      </w:r>
      <w:r>
        <w:rPr>
          <w:rFonts w:eastAsia="微软雅黑"/>
          <w:b/>
          <w:i/>
          <w:szCs w:val="20"/>
        </w:rPr>
        <w:t>:</w:t>
      </w:r>
      <w:r>
        <w:rPr>
          <w:rFonts w:hint="eastAsia" w:eastAsia="微软雅黑"/>
          <w:b/>
          <w:i/>
          <w:szCs w:val="20"/>
        </w:rPr>
        <w:t xml:space="preserve"> </w:t>
      </w:r>
      <w:r>
        <w:rPr>
          <w:rFonts w:eastAsia="微软雅黑"/>
          <w:i/>
          <w:szCs w:val="20"/>
        </w:rPr>
        <w:t>On Rel</w:t>
      </w:r>
      <w:r>
        <w:rPr>
          <w:rFonts w:hint="eastAsia" w:eastAsia="微软雅黑"/>
          <w:i/>
          <w:szCs w:val="20"/>
        </w:rPr>
        <w:t>-</w:t>
      </w:r>
      <w:r>
        <w:rPr>
          <w:rFonts w:eastAsia="微软雅黑"/>
          <w:i/>
          <w:szCs w:val="20"/>
        </w:rPr>
        <w:t>17 enhancements to facilitate UE-initiated panel activation and selection</w:t>
      </w:r>
      <w:r>
        <w:rPr>
          <w:rFonts w:hint="eastAsia" w:eastAsia="微软雅黑"/>
          <w:i/>
          <w:szCs w:val="20"/>
        </w:rPr>
        <w:t>,</w:t>
      </w:r>
      <w:r>
        <w:rPr>
          <w:rFonts w:eastAsia="微软雅黑"/>
          <w:b/>
          <w:i/>
          <w:szCs w:val="20"/>
        </w:rPr>
        <w:t xml:space="preserve"> </w:t>
      </w:r>
    </w:p>
    <w:p>
      <w:pPr>
        <w:pStyle w:val="109"/>
        <w:numPr>
          <w:ilvl w:val="0"/>
          <w:numId w:val="8"/>
        </w:numPr>
        <w:snapToGrid w:val="0"/>
        <w:spacing w:before="60" w:beforeLines="25" w:after="60" w:afterLines="25" w:line="300" w:lineRule="auto"/>
        <w:ind w:left="400" w:firstLineChars="0"/>
        <w:jc w:val="both"/>
        <w:rPr>
          <w:rFonts w:eastAsia="微软雅黑"/>
          <w:i/>
          <w:szCs w:val="20"/>
        </w:rPr>
      </w:pPr>
      <w:r>
        <w:rPr>
          <w:rFonts w:eastAsia="微软雅黑"/>
          <w:i/>
          <w:szCs w:val="20"/>
        </w:rPr>
        <w:t>Support UE reporting of the supported number of UE panel entities, and supported UL ranks (number of UL transmission layers) and supported number of SRS antenna ports per UE panel entity, as a UE capability.</w:t>
      </w:r>
    </w:p>
    <w:p>
      <w:pPr>
        <w:pStyle w:val="109"/>
        <w:numPr>
          <w:ilvl w:val="0"/>
          <w:numId w:val="8"/>
        </w:numPr>
        <w:snapToGrid w:val="0"/>
        <w:spacing w:before="60" w:beforeLines="25" w:after="60" w:afterLines="25" w:line="300" w:lineRule="auto"/>
        <w:ind w:left="400" w:firstLineChars="0"/>
        <w:jc w:val="both"/>
        <w:rPr>
          <w:rFonts w:eastAsia="微软雅黑"/>
          <w:i/>
          <w:szCs w:val="20"/>
        </w:rPr>
      </w:pPr>
      <w:r>
        <w:rPr>
          <w:rFonts w:eastAsia="微软雅黑"/>
          <w:i/>
          <w:szCs w:val="20"/>
        </w:rPr>
        <w:t>NW can configure respective transmission mode indexes to be associated with different UE panel entities, or different combination of the number of UL ranks and number of SRS antenna ports based on above UE capability report.</w:t>
      </w:r>
    </w:p>
    <w:p>
      <w:pPr>
        <w:pStyle w:val="109"/>
        <w:numPr>
          <w:ilvl w:val="0"/>
          <w:numId w:val="8"/>
        </w:numPr>
        <w:snapToGrid w:val="0"/>
        <w:spacing w:before="60" w:beforeLines="25" w:after="60" w:afterLines="25" w:line="300" w:lineRule="auto"/>
        <w:ind w:left="400" w:firstLineChars="0"/>
        <w:jc w:val="both"/>
        <w:rPr>
          <w:rFonts w:eastAsia="微软雅黑"/>
          <w:i/>
          <w:szCs w:val="20"/>
        </w:rPr>
      </w:pPr>
      <w:r>
        <w:rPr>
          <w:rFonts w:eastAsia="微软雅黑"/>
          <w:i/>
          <w:szCs w:val="20"/>
        </w:rPr>
        <w:t>In the report instance, the UE reports SSBRI/CRI and the corresponding transmission mode index</w:t>
      </w:r>
    </w:p>
    <w:p>
      <w:pPr>
        <w:pStyle w:val="111"/>
        <w:numPr>
          <w:ilvl w:val="1"/>
          <w:numId w:val="8"/>
        </w:numPr>
        <w:snapToGrid w:val="0"/>
        <w:spacing w:before="60" w:beforeLines="25" w:after="120" w:afterLines="50" w:line="300" w:lineRule="auto"/>
        <w:ind w:left="851" w:hanging="360" w:firstLineChars="0"/>
        <w:jc w:val="both"/>
        <w:rPr>
          <w:rFonts w:eastAsia="微软雅黑"/>
          <w:i/>
          <w:szCs w:val="20"/>
        </w:rPr>
      </w:pPr>
      <w:r>
        <w:rPr>
          <w:rFonts w:eastAsia="微软雅黑"/>
          <w:i/>
          <w:szCs w:val="20"/>
        </w:rPr>
        <w:t>The above results in beam report or MAC-CE are applied X symbols after receiving gNB acknowledge for the report.</w:t>
      </w:r>
    </w:p>
    <w:p>
      <w:pPr>
        <w:pStyle w:val="111"/>
        <w:numPr>
          <w:ilvl w:val="1"/>
          <w:numId w:val="8"/>
        </w:numPr>
        <w:snapToGrid w:val="0"/>
        <w:spacing w:before="60" w:beforeLines="25" w:after="120" w:afterLines="50" w:line="300" w:lineRule="auto"/>
        <w:ind w:left="851" w:hanging="360" w:firstLineChars="0"/>
        <w:jc w:val="both"/>
        <w:rPr>
          <w:rFonts w:eastAsia="微软雅黑"/>
          <w:i/>
          <w:szCs w:val="20"/>
        </w:rPr>
      </w:pPr>
      <w:r>
        <w:rPr>
          <w:rFonts w:eastAsia="微软雅黑"/>
          <w:i/>
          <w:szCs w:val="20"/>
        </w:rPr>
        <w:t>FFS: Report format, e.g., beam report or MAC-CE, and mechanism of gNB acknowledge.</w:t>
      </w:r>
    </w:p>
    <w:p>
      <w:pPr>
        <w:pStyle w:val="109"/>
        <w:numPr>
          <w:ilvl w:val="0"/>
          <w:numId w:val="8"/>
        </w:numPr>
        <w:snapToGrid w:val="0"/>
        <w:spacing w:before="60" w:beforeLines="25" w:after="60" w:afterLines="25" w:line="300" w:lineRule="auto"/>
        <w:ind w:left="400" w:hanging="420" w:firstLineChars="0"/>
        <w:jc w:val="both"/>
        <w:rPr>
          <w:rFonts w:ascii="Times" w:hAnsi="Times" w:eastAsia="Times New Roman" w:cs="Times"/>
          <w:i/>
          <w:lang w:val="en-GB" w:eastAsia="en-US"/>
        </w:rPr>
      </w:pPr>
      <w:r>
        <w:rPr>
          <w:rFonts w:ascii="Times" w:hAnsi="Times" w:eastAsia="Times New Roman" w:cs="Times"/>
          <w:i/>
          <w:lang w:val="en-GB" w:eastAsia="en-US"/>
        </w:rPr>
        <w:t xml:space="preserve">Support </w:t>
      </w:r>
      <w:r>
        <w:rPr>
          <w:rFonts w:ascii="Times" w:hAnsi="Times" w:eastAsia="微软雅黑" w:cs="Times"/>
          <w:i/>
          <w:szCs w:val="20"/>
          <w:lang w:val="en-GB" w:eastAsia="en-US"/>
        </w:rPr>
        <w:t>multiple</w:t>
      </w:r>
      <w:r>
        <w:rPr>
          <w:rFonts w:ascii="Times" w:hAnsi="Times" w:eastAsia="Times New Roman" w:cs="Times"/>
          <w:i/>
          <w:lang w:val="en-GB" w:eastAsia="en-US"/>
        </w:rPr>
        <w:t xml:space="preserve"> codebook-based SRS resource sets with different number of SRS antenna ports</w:t>
      </w:r>
    </w:p>
    <w:p>
      <w:pPr>
        <w:pStyle w:val="111"/>
        <w:numPr>
          <w:ilvl w:val="1"/>
          <w:numId w:val="8"/>
        </w:numPr>
        <w:snapToGrid w:val="0"/>
        <w:spacing w:before="60" w:beforeLines="25" w:after="120" w:afterLines="50" w:line="300" w:lineRule="auto"/>
        <w:ind w:left="851" w:hanging="360" w:firstLineChars="0"/>
        <w:jc w:val="both"/>
      </w:pPr>
      <w:r>
        <w:rPr>
          <w:rFonts w:ascii="Times" w:hAnsi="Times" w:eastAsia="Times New Roman" w:cs="Times"/>
          <w:i/>
          <w:lang w:val="en-GB" w:eastAsia="en-US"/>
        </w:rPr>
        <w:t xml:space="preserve">The indicated </w:t>
      </w:r>
      <w:r>
        <w:rPr>
          <w:rFonts w:ascii="Times" w:hAnsi="Times" w:eastAsia="微软雅黑" w:cs="Times"/>
          <w:i/>
          <w:szCs w:val="20"/>
          <w:lang w:val="en-GB" w:eastAsia="en-US"/>
        </w:rPr>
        <w:t>SRI</w:t>
      </w:r>
      <w:r>
        <w:rPr>
          <w:rFonts w:ascii="Times" w:hAnsi="Times" w:eastAsia="Times New Roman" w:cs="Times"/>
          <w:i/>
          <w:lang w:val="en-GB" w:eastAsia="en-US"/>
        </w:rPr>
        <w:t xml:space="preserve"> is based on the SRS resources corresponding to one SRS resource set, where the SRS resource set should be aligned with the UE reported info corresponding to the transmission mode index</w:t>
      </w:r>
    </w:p>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FR2 MPE mitigation</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w:t>
      </w:r>
      <w:r>
        <w:rPr>
          <w:rFonts w:eastAsia="微软雅黑"/>
          <w:szCs w:val="20"/>
        </w:rPr>
        <w:t>n RAN1#10</w:t>
      </w:r>
      <w:r>
        <w:rPr>
          <w:rFonts w:hint="eastAsia" w:eastAsia="微软雅黑"/>
          <w:szCs w:val="20"/>
        </w:rPr>
        <w:t>6</w:t>
      </w:r>
      <w:r>
        <w:rPr>
          <w:rFonts w:eastAsia="微软雅黑"/>
          <w:szCs w:val="20"/>
        </w:rPr>
        <w:t>-e meeting, the following agreement was reached for FR2 MPE mitigation. In this subsection, we discuss the potential enhancement on FR2 MPE mitigation.</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snapToGrid w:val="0"/>
              <w:spacing w:after="0" w:line="240" w:lineRule="auto"/>
              <w:contextualSpacing/>
              <w:rPr>
                <w:rFonts w:cs="Times"/>
                <w:b/>
                <w:bCs/>
                <w:szCs w:val="20"/>
                <w:u w:val="single"/>
              </w:rPr>
            </w:pPr>
            <w:r>
              <w:rPr>
                <w:rFonts w:cs="Times"/>
                <w:b/>
                <w:bCs/>
                <w:szCs w:val="20"/>
                <w:u w:val="single"/>
              </w:rPr>
              <w:t>Agreement</w:t>
            </w:r>
          </w:p>
          <w:p>
            <w:pPr>
              <w:snapToGrid w:val="0"/>
              <w:spacing w:after="0" w:line="240" w:lineRule="auto"/>
              <w:jc w:val="both"/>
              <w:rPr>
                <w:rFonts w:ascii="Times" w:hAnsi="Times" w:eastAsia="Times New Roman"/>
                <w:szCs w:val="20"/>
                <w:lang w:val="en-GB" w:eastAsia="en-US"/>
              </w:rPr>
            </w:pPr>
            <w:r>
              <w:rPr>
                <w:rFonts w:ascii="Times" w:hAnsi="Times" w:eastAsia="Batang"/>
                <w:szCs w:val="20"/>
                <w:lang w:val="en-GB"/>
              </w:rPr>
              <w:t xml:space="preserve">On Rel.17 enhancements to facilitate MPE mitigation, </w:t>
            </w:r>
            <w:r>
              <w:rPr>
                <w:rFonts w:ascii="Times" w:hAnsi="Times" w:eastAsia="Times New Roman"/>
                <w:szCs w:val="20"/>
                <w:lang w:val="en-GB" w:eastAsia="en-US"/>
              </w:rPr>
              <w:t>support the following enhancement on the Rel-16 event-triggered P-MPR-based reporting (included in the PHR report when a threshold is reached, reported via MAC-CE):</w:t>
            </w:r>
          </w:p>
          <w:p>
            <w:pPr>
              <w:numPr>
                <w:ilvl w:val="0"/>
                <w:numId w:val="22"/>
              </w:numPr>
              <w:snapToGrid w:val="0"/>
              <w:spacing w:after="0"/>
              <w:jc w:val="both"/>
              <w:rPr>
                <w:rFonts w:eastAsia="Times New Roman"/>
                <w:szCs w:val="20"/>
                <w:lang w:val="en-GB" w:eastAsia="ja-JP"/>
              </w:rPr>
            </w:pPr>
            <w:r>
              <w:rPr>
                <w:rFonts w:eastAsia="Times New Roman"/>
                <w:szCs w:val="20"/>
                <w:lang w:val="en-GB" w:eastAsia="ja-JP"/>
              </w:rPr>
              <w:t xml:space="preserve">In addition to the existing field in the PHR MAC-CE, N≥1 P-MPR values can be reported </w:t>
            </w:r>
          </w:p>
          <w:p>
            <w:pPr>
              <w:numPr>
                <w:ilvl w:val="1"/>
                <w:numId w:val="22"/>
              </w:numPr>
              <w:snapToGrid w:val="0"/>
              <w:spacing w:after="0"/>
              <w:jc w:val="both"/>
              <w:rPr>
                <w:rFonts w:eastAsia="Times New Roman"/>
                <w:szCs w:val="20"/>
                <w:lang w:val="en-GB" w:eastAsia="ja-JP"/>
              </w:rPr>
            </w:pPr>
            <w:r>
              <w:rPr>
                <w:rFonts w:eastAsia="Times New Roman"/>
                <w:szCs w:val="20"/>
                <w:lang w:val="en-GB" w:eastAsia="ja-JP"/>
              </w:rPr>
              <w:t>The N P-MPR values are reported together with the following:</w:t>
            </w:r>
          </w:p>
          <w:p>
            <w:pPr>
              <w:numPr>
                <w:ilvl w:val="2"/>
                <w:numId w:val="22"/>
              </w:numPr>
              <w:snapToGrid w:val="0"/>
              <w:spacing w:after="0"/>
              <w:jc w:val="both"/>
              <w:rPr>
                <w:rFonts w:eastAsia="Times New Roman"/>
                <w:szCs w:val="20"/>
                <w:lang w:val="en-GB" w:eastAsia="ja-JP"/>
              </w:rPr>
            </w:pPr>
            <w:r>
              <w:rPr>
                <w:rFonts w:eastAsia="Times New Roman"/>
                <w:szCs w:val="20"/>
                <w:lang w:val="en-GB" w:eastAsia="ja-JP"/>
              </w:rPr>
              <w:t>(</w:t>
            </w:r>
            <w:r>
              <w:rPr>
                <w:rFonts w:eastAsia="Times New Roman"/>
                <w:szCs w:val="20"/>
                <w:highlight w:val="darkYellow"/>
                <w:lang w:val="en-GB" w:eastAsia="ja-JP"/>
              </w:rPr>
              <w:t>Working Assumption</w:t>
            </w:r>
            <w:r>
              <w:rPr>
                <w:rFonts w:eastAsia="Times New Roman"/>
                <w:szCs w:val="20"/>
                <w:lang w:val="en-GB" w:eastAsia="ja-JP"/>
              </w:rPr>
              <w:t>) For each P-MPR value, up to M SSBRI(s)/CRI(s), where the SSBRI(s)/CRI(s) is selected by the UE from a candidate SSB/CSI-RS resource pool (FFS: how to perform the selection)</w:t>
            </w:r>
          </w:p>
          <w:p>
            <w:pPr>
              <w:numPr>
                <w:ilvl w:val="3"/>
                <w:numId w:val="22"/>
              </w:numPr>
              <w:snapToGrid w:val="0"/>
              <w:spacing w:after="0"/>
              <w:jc w:val="both"/>
              <w:rPr>
                <w:rFonts w:eastAsia="Times New Roman"/>
                <w:szCs w:val="20"/>
                <w:lang w:val="en-GB" w:eastAsia="ja-JP"/>
              </w:rPr>
            </w:pPr>
            <w:r>
              <w:rPr>
                <w:rFonts w:eastAsia="Times New Roman"/>
                <w:szCs w:val="20"/>
                <w:lang w:val="en-GB" w:eastAsia="ja-JP"/>
              </w:rPr>
              <w:t>FFS: The supported value(s) of M</w:t>
            </w:r>
          </w:p>
          <w:p>
            <w:pPr>
              <w:numPr>
                <w:ilvl w:val="0"/>
                <w:numId w:val="22"/>
              </w:numPr>
              <w:snapToGrid w:val="0"/>
              <w:spacing w:after="0"/>
              <w:jc w:val="both"/>
              <w:rPr>
                <w:rFonts w:eastAsia="Times New Roman"/>
                <w:szCs w:val="20"/>
                <w:lang w:val="en-GB" w:eastAsia="ja-JP"/>
              </w:rPr>
            </w:pPr>
            <w:r>
              <w:rPr>
                <w:rFonts w:eastAsia="Times New Roman"/>
                <w:szCs w:val="20"/>
                <w:lang w:val="en-GB" w:eastAsia="ja-JP"/>
              </w:rPr>
              <w:t>FFS: Whether N represents the number of selected beams or the number of panels</w:t>
            </w:r>
          </w:p>
          <w:p>
            <w:pPr>
              <w:numPr>
                <w:ilvl w:val="0"/>
                <w:numId w:val="22"/>
              </w:numPr>
              <w:snapToGrid w:val="0"/>
              <w:spacing w:after="0"/>
              <w:jc w:val="both"/>
              <w:rPr>
                <w:rFonts w:eastAsia="Times New Roman"/>
                <w:szCs w:val="20"/>
                <w:lang w:val="en-GB" w:eastAsia="ja-JP"/>
              </w:rPr>
            </w:pPr>
            <w:r>
              <w:rPr>
                <w:rFonts w:eastAsia="Times New Roman"/>
                <w:szCs w:val="20"/>
                <w:lang w:val="en-GB" w:eastAsia="ja-JP"/>
              </w:rPr>
              <w:t>FFS: Supported values of N</w:t>
            </w:r>
          </w:p>
          <w:p>
            <w:pPr>
              <w:numPr>
                <w:ilvl w:val="0"/>
                <w:numId w:val="22"/>
              </w:numPr>
              <w:snapToGrid w:val="0"/>
              <w:spacing w:after="0"/>
              <w:jc w:val="both"/>
              <w:rPr>
                <w:rFonts w:eastAsia="Times New Roman"/>
                <w:szCs w:val="20"/>
                <w:lang w:val="en-GB" w:eastAsia="ja-JP"/>
              </w:rPr>
            </w:pPr>
            <w:r>
              <w:rPr>
                <w:rFonts w:eastAsia="Times New Roman"/>
                <w:szCs w:val="20"/>
                <w:lang w:val="en-GB" w:eastAsia="ja-JP"/>
              </w:rPr>
              <w:t xml:space="preserve">FFS: Whether beam-specific and/or panel-specific PHR is also reported </w:t>
            </w:r>
          </w:p>
          <w:p>
            <w:pPr>
              <w:numPr>
                <w:ilvl w:val="0"/>
                <w:numId w:val="22"/>
              </w:numPr>
              <w:snapToGrid w:val="0"/>
              <w:spacing w:after="0"/>
              <w:jc w:val="both"/>
              <w:rPr>
                <w:rFonts w:eastAsia="Times New Roman"/>
                <w:szCs w:val="20"/>
                <w:lang w:val="en-GB" w:eastAsia="ja-JP"/>
              </w:rPr>
            </w:pPr>
            <w:r>
              <w:rPr>
                <w:rFonts w:eastAsia="Times New Roman"/>
                <w:szCs w:val="20"/>
                <w:lang w:val="en-GB" w:eastAsia="ja-JP"/>
              </w:rPr>
              <w:t xml:space="preserve">FFS: Additional reporting quantities, e.g. SSBRI/CRI, </w:t>
            </w:r>
            <w:r>
              <w:rPr>
                <w:rFonts w:eastAsia="宋体"/>
                <w:szCs w:val="20"/>
                <w:lang w:val="en-GB"/>
              </w:rPr>
              <w:t>MPR+DL RSRP, or modified virtual PHR</w:t>
            </w:r>
          </w:p>
          <w:p>
            <w:pPr>
              <w:numPr>
                <w:ilvl w:val="0"/>
                <w:numId w:val="22"/>
              </w:numPr>
              <w:snapToGrid w:val="0"/>
              <w:spacing w:after="0"/>
              <w:jc w:val="both"/>
              <w:rPr>
                <w:rFonts w:eastAsia="Times New Roman"/>
                <w:szCs w:val="20"/>
                <w:lang w:val="en-GB" w:eastAsia="ja-JP"/>
              </w:rPr>
            </w:pPr>
            <w:r>
              <w:rPr>
                <w:rFonts w:eastAsia="Times New Roman"/>
                <w:szCs w:val="20"/>
                <w:lang w:val="en-GB" w:eastAsia="ja-JP"/>
              </w:rPr>
              <w:t xml:space="preserve">FFS: </w:t>
            </w:r>
            <w:r>
              <w:rPr>
                <w:rFonts w:eastAsia="宋体"/>
                <w:szCs w:val="20"/>
                <w:lang w:val="en-GB"/>
              </w:rPr>
              <w:t>additional signaling (e.g. CSI triggering) from the NW</w:t>
            </w:r>
          </w:p>
          <w:p>
            <w:pPr>
              <w:numPr>
                <w:ilvl w:val="2"/>
                <w:numId w:val="23"/>
              </w:numPr>
              <w:snapToGrid w:val="0"/>
              <w:spacing w:after="0" w:line="240" w:lineRule="auto"/>
              <w:ind w:left="1440"/>
              <w:contextualSpacing/>
              <w:jc w:val="both"/>
              <w:rPr>
                <w:rFonts w:eastAsia="微软雅黑"/>
                <w:sz w:val="2"/>
              </w:rPr>
            </w:pPr>
          </w:p>
        </w:tc>
      </w:tr>
    </w:tbl>
    <w:p>
      <w:pPr>
        <w:overflowPunct w:val="0"/>
        <w:autoSpaceDE w:val="0"/>
        <w:autoSpaceDN w:val="0"/>
        <w:adjustRightInd w:val="0"/>
        <w:spacing w:before="120" w:beforeLines="50" w:after="120" w:line="300" w:lineRule="auto"/>
        <w:jc w:val="both"/>
        <w:textAlignment w:val="baseline"/>
        <w:rPr>
          <w:szCs w:val="20"/>
          <w:lang w:val="en-GB"/>
        </w:rPr>
      </w:pPr>
      <w:r>
        <w:rPr>
          <w:szCs w:val="20"/>
          <w:lang w:val="en-GB"/>
        </w:rPr>
        <w:t>For remaining issues as highlighted in the above agreement, we have the following analysis:</w:t>
      </w:r>
    </w:p>
    <w:p>
      <w:pPr>
        <w:pStyle w:val="109"/>
        <w:numPr>
          <w:ilvl w:val="0"/>
          <w:numId w:val="8"/>
        </w:numPr>
        <w:overflowPunct w:val="0"/>
        <w:autoSpaceDE w:val="0"/>
        <w:autoSpaceDN w:val="0"/>
        <w:adjustRightInd w:val="0"/>
        <w:snapToGrid w:val="0"/>
        <w:spacing w:before="60" w:beforeLines="25" w:after="60" w:afterLines="25" w:line="300" w:lineRule="auto"/>
        <w:ind w:left="400" w:firstLineChars="0"/>
        <w:jc w:val="both"/>
        <w:textAlignment w:val="baseline"/>
        <w:rPr>
          <w:szCs w:val="20"/>
          <w:lang w:val="en-GB"/>
        </w:rPr>
      </w:pPr>
      <w:r>
        <w:rPr>
          <w:szCs w:val="20"/>
          <w:lang w:val="en-GB"/>
        </w:rPr>
        <w:t>Regarding ‘Working Assumption’, we do NOT identify the necessity of M&gt;1 SSBRI(s)/CRI(s) for each P-MPR value. Even if the P-MPR is panel specific in UE implementation, the UE still can report the same P-MPR values for different reported SSBRI(s)/CRI(s) as a transparent manner. In other words, we tend to agree that N represent</w:t>
      </w:r>
      <w:r>
        <w:rPr>
          <w:rFonts w:hint="eastAsia" w:eastAsia="宋体"/>
          <w:szCs w:val="20"/>
        </w:rPr>
        <w:t>s</w:t>
      </w:r>
      <w:r>
        <w:rPr>
          <w:szCs w:val="20"/>
          <w:lang w:val="en-GB"/>
        </w:rPr>
        <w:t xml:space="preserve"> the number of selected beams.</w:t>
      </w:r>
    </w:p>
    <w:p>
      <w:pPr>
        <w:pStyle w:val="109"/>
        <w:numPr>
          <w:ilvl w:val="0"/>
          <w:numId w:val="8"/>
        </w:numPr>
        <w:overflowPunct w:val="0"/>
        <w:autoSpaceDE w:val="0"/>
        <w:autoSpaceDN w:val="0"/>
        <w:adjustRightInd w:val="0"/>
        <w:snapToGrid w:val="0"/>
        <w:spacing w:before="60" w:beforeLines="25" w:after="60" w:afterLines="25" w:line="300" w:lineRule="auto"/>
        <w:ind w:left="400" w:firstLineChars="0"/>
        <w:jc w:val="both"/>
        <w:textAlignment w:val="baseline"/>
        <w:rPr>
          <w:szCs w:val="20"/>
          <w:lang w:val="en-GB"/>
        </w:rPr>
      </w:pPr>
      <w:r>
        <w:rPr>
          <w:szCs w:val="20"/>
          <w:lang w:val="en-GB"/>
        </w:rPr>
        <w:t>Regarding ‘Supported value of N’, we suggest to align with legacy beam reporting, and N is up to 4.</w:t>
      </w:r>
    </w:p>
    <w:p>
      <w:pPr>
        <w:pStyle w:val="109"/>
        <w:numPr>
          <w:ilvl w:val="0"/>
          <w:numId w:val="8"/>
        </w:numPr>
        <w:overflowPunct w:val="0"/>
        <w:autoSpaceDE w:val="0"/>
        <w:autoSpaceDN w:val="0"/>
        <w:adjustRightInd w:val="0"/>
        <w:snapToGrid w:val="0"/>
        <w:spacing w:before="60" w:beforeLines="25" w:after="60" w:afterLines="25" w:line="300" w:lineRule="auto"/>
        <w:ind w:left="400" w:firstLineChars="0"/>
        <w:jc w:val="both"/>
        <w:textAlignment w:val="baseline"/>
        <w:rPr>
          <w:szCs w:val="20"/>
          <w:lang w:val="en-GB"/>
        </w:rPr>
      </w:pPr>
      <w:r>
        <w:rPr>
          <w:szCs w:val="20"/>
          <w:lang w:val="en-GB"/>
        </w:rPr>
        <w:t xml:space="preserve">Regarding ‘FFS: how to preform the selection’, ‘beam-specific and/or panel-specific PHR’ and ‘Additional reporting quantities’, we think that the modified virtual PHR should be introduced as well. </w:t>
      </w:r>
    </w:p>
    <w:p>
      <w:pPr>
        <w:pStyle w:val="111"/>
        <w:numPr>
          <w:ilvl w:val="1"/>
          <w:numId w:val="8"/>
        </w:numPr>
        <w:overflowPunct w:val="0"/>
        <w:autoSpaceDE w:val="0"/>
        <w:autoSpaceDN w:val="0"/>
        <w:adjustRightInd w:val="0"/>
        <w:snapToGrid w:val="0"/>
        <w:spacing w:before="60" w:beforeLines="25" w:after="120" w:afterLines="50" w:line="300" w:lineRule="auto"/>
        <w:ind w:left="851" w:firstLineChars="0"/>
        <w:jc w:val="both"/>
        <w:textAlignment w:val="baseline"/>
        <w:rPr>
          <w:szCs w:val="20"/>
          <w:lang w:val="en-GB"/>
        </w:rPr>
      </w:pPr>
      <w:r>
        <w:rPr>
          <w:szCs w:val="20"/>
          <w:lang w:val="en-GB"/>
        </w:rPr>
        <w:t>In technical, if beam reporting is only based on MPE rather than both MPE and the virtual/real transmission, the UL beam (with low MPE but large path loss) recommended by reporting may be useless, and more power is wasted for keeping the same performance. The UE shall report SSBRI(s)/CRI(s) along with the virtual PHR with the objective of maximizing PHR value, i.e., minimizing the value of P-MPR and PL.</w:t>
      </w:r>
    </w:p>
    <w:p>
      <w:pPr>
        <w:pStyle w:val="111"/>
        <w:numPr>
          <w:ilvl w:val="1"/>
          <w:numId w:val="8"/>
        </w:numPr>
        <w:overflowPunct w:val="0"/>
        <w:autoSpaceDE w:val="0"/>
        <w:autoSpaceDN w:val="0"/>
        <w:adjustRightInd w:val="0"/>
        <w:snapToGrid w:val="0"/>
        <w:spacing w:before="60" w:beforeLines="25" w:after="120" w:afterLines="50" w:line="300" w:lineRule="auto"/>
        <w:ind w:left="851" w:firstLineChars="0"/>
        <w:jc w:val="both"/>
        <w:textAlignment w:val="baseline"/>
        <w:rPr>
          <w:szCs w:val="20"/>
          <w:lang w:val="en-GB"/>
        </w:rPr>
      </w:pPr>
      <w:r>
        <w:rPr>
          <w:szCs w:val="20"/>
          <w:lang w:val="en-GB"/>
        </w:rPr>
        <w:t xml:space="preserve">On the other hand, beam specific PHR reporting, i.e., difference between Pcmax and the required transmission power, can well present the MPE impact transparently, and a UL beam re-indication can be performed by gNB if a low PHR, e.g., 0-dB or negative, is received for the current beam. </w:t>
      </w:r>
    </w:p>
    <w:p>
      <w:pPr>
        <w:pStyle w:val="111"/>
        <w:numPr>
          <w:ilvl w:val="1"/>
          <w:numId w:val="8"/>
        </w:numPr>
        <w:overflowPunct w:val="0"/>
        <w:autoSpaceDE w:val="0"/>
        <w:autoSpaceDN w:val="0"/>
        <w:adjustRightInd w:val="0"/>
        <w:snapToGrid w:val="0"/>
        <w:spacing w:before="60" w:beforeLines="25" w:after="120" w:afterLines="50" w:line="300" w:lineRule="auto"/>
        <w:ind w:left="851" w:firstLineChars="0"/>
        <w:jc w:val="both"/>
        <w:textAlignment w:val="baseline"/>
        <w:rPr>
          <w:szCs w:val="20"/>
          <w:lang w:val="en-GB"/>
        </w:rPr>
      </w:pPr>
      <w:r>
        <w:rPr>
          <w:szCs w:val="20"/>
          <w:lang w:val="en-GB"/>
        </w:rPr>
        <w:t>Besides, DL-RSRP can be derived according to P-MPR and the modified virtual PHR.</w:t>
      </w:r>
    </w:p>
    <w:p>
      <w:pPr>
        <w:pStyle w:val="109"/>
        <w:numPr>
          <w:ilvl w:val="0"/>
          <w:numId w:val="8"/>
        </w:numPr>
        <w:overflowPunct w:val="0"/>
        <w:autoSpaceDE w:val="0"/>
        <w:autoSpaceDN w:val="0"/>
        <w:adjustRightInd w:val="0"/>
        <w:snapToGrid w:val="0"/>
        <w:spacing w:before="60" w:beforeLines="25" w:after="60" w:afterLines="25" w:line="300" w:lineRule="auto"/>
        <w:ind w:left="400" w:firstLineChars="0"/>
        <w:jc w:val="both"/>
        <w:textAlignment w:val="baseline"/>
        <w:rPr>
          <w:szCs w:val="20"/>
          <w:lang w:val="en-GB"/>
        </w:rPr>
      </w:pPr>
      <w:r>
        <w:rPr>
          <w:szCs w:val="20"/>
          <w:lang w:val="en-GB"/>
        </w:rPr>
        <w:t xml:space="preserve">Regarding ‘additional signaling (e.g. CSI triggering) from the NW’, the necessity of additionally introducing NW-initialized reporting for MPE should be justified, considering that the enhancement on Rel-16 event-triggered P-MPR-based reporting has been agreed already. </w:t>
      </w:r>
    </w:p>
    <w:p>
      <w:pPr>
        <w:snapToGrid w:val="0"/>
        <w:spacing w:before="60" w:beforeLines="25" w:after="60" w:afterLines="25" w:line="300" w:lineRule="auto"/>
        <w:jc w:val="both"/>
        <w:rPr>
          <w:rFonts w:eastAsia="微软雅黑"/>
          <w:b/>
          <w:i/>
          <w:szCs w:val="20"/>
        </w:rPr>
      </w:pPr>
      <w:r>
        <w:rPr>
          <w:rFonts w:eastAsia="微软雅黑"/>
          <w:b/>
          <w:i/>
          <w:szCs w:val="20"/>
        </w:rPr>
        <w:t>Proposal 1</w:t>
      </w:r>
      <w:r>
        <w:rPr>
          <w:rFonts w:hint="eastAsia" w:eastAsia="微软雅黑"/>
          <w:b/>
          <w:i/>
          <w:szCs w:val="20"/>
        </w:rPr>
        <w:t>7</w:t>
      </w:r>
      <w:r>
        <w:rPr>
          <w:rFonts w:eastAsia="微软雅黑"/>
          <w:b/>
          <w:i/>
          <w:szCs w:val="20"/>
        </w:rPr>
        <w:t>:</w:t>
      </w:r>
      <w:r>
        <w:rPr>
          <w:rFonts w:hint="eastAsia" w:eastAsia="微软雅黑"/>
          <w:b/>
          <w:i/>
          <w:szCs w:val="20"/>
        </w:rPr>
        <w:t xml:space="preserve"> </w:t>
      </w:r>
      <w:r>
        <w:rPr>
          <w:rFonts w:eastAsia="微软雅黑"/>
          <w:i/>
          <w:szCs w:val="20"/>
        </w:rPr>
        <w:t>On Rel</w:t>
      </w:r>
      <w:r>
        <w:rPr>
          <w:rFonts w:hint="eastAsia" w:eastAsia="微软雅黑"/>
          <w:i/>
          <w:szCs w:val="20"/>
        </w:rPr>
        <w:t>-</w:t>
      </w:r>
      <w:r>
        <w:rPr>
          <w:rFonts w:eastAsia="微软雅黑"/>
          <w:i/>
          <w:szCs w:val="20"/>
        </w:rPr>
        <w:t>17 enhancements to facilitate MPE mitigation</w:t>
      </w:r>
      <w:r>
        <w:rPr>
          <w:rFonts w:eastAsia="微软雅黑"/>
          <w:b/>
          <w:i/>
          <w:szCs w:val="20"/>
        </w:rPr>
        <w:t xml:space="preserve"> </w:t>
      </w:r>
    </w:p>
    <w:p>
      <w:pPr>
        <w:pStyle w:val="109"/>
        <w:numPr>
          <w:ilvl w:val="0"/>
          <w:numId w:val="8"/>
        </w:numPr>
        <w:overflowPunct w:val="0"/>
        <w:autoSpaceDE w:val="0"/>
        <w:autoSpaceDN w:val="0"/>
        <w:adjustRightInd w:val="0"/>
        <w:snapToGrid w:val="0"/>
        <w:spacing w:before="60" w:beforeLines="25" w:after="60" w:afterLines="25" w:line="300" w:lineRule="auto"/>
        <w:ind w:left="400" w:firstLineChars="0"/>
        <w:jc w:val="both"/>
        <w:textAlignment w:val="baseline"/>
        <w:rPr>
          <w:i/>
          <w:szCs w:val="20"/>
        </w:rPr>
      </w:pPr>
      <w:r>
        <w:rPr>
          <w:i/>
          <w:szCs w:val="20"/>
        </w:rPr>
        <w:t>Confirm the working assumption with the following modification</w:t>
      </w:r>
    </w:p>
    <w:p>
      <w:pPr>
        <w:pStyle w:val="111"/>
        <w:numPr>
          <w:ilvl w:val="1"/>
          <w:numId w:val="8"/>
        </w:numPr>
        <w:overflowPunct w:val="0"/>
        <w:autoSpaceDE w:val="0"/>
        <w:autoSpaceDN w:val="0"/>
        <w:adjustRightInd w:val="0"/>
        <w:snapToGrid w:val="0"/>
        <w:spacing w:before="60" w:beforeLines="25" w:after="120" w:afterLines="50" w:line="300" w:lineRule="auto"/>
        <w:ind w:left="851" w:firstLineChars="0"/>
        <w:jc w:val="both"/>
        <w:textAlignment w:val="baseline"/>
        <w:rPr>
          <w:rFonts w:eastAsia="Times New Roman"/>
          <w:i/>
          <w:szCs w:val="20"/>
          <w:lang w:val="en-GB" w:eastAsia="ja-JP"/>
        </w:rPr>
      </w:pPr>
      <w:r>
        <w:rPr>
          <w:rFonts w:eastAsia="Times New Roman"/>
          <w:i/>
          <w:szCs w:val="20"/>
          <w:lang w:val="en-GB" w:eastAsia="ja-JP"/>
        </w:rPr>
        <w:t>For each P-MPR value, up to M</w:t>
      </w:r>
      <w:r>
        <w:rPr>
          <w:rFonts w:eastAsia="Times New Roman"/>
          <w:i/>
          <w:color w:val="FF0000"/>
          <w:szCs w:val="20"/>
          <w:lang w:val="en-GB" w:eastAsia="ja-JP"/>
        </w:rPr>
        <w:t xml:space="preserve">=1 </w:t>
      </w:r>
      <w:r>
        <w:rPr>
          <w:rFonts w:eastAsia="Times New Roman"/>
          <w:i/>
          <w:szCs w:val="20"/>
          <w:lang w:val="en-GB" w:eastAsia="ja-JP"/>
        </w:rPr>
        <w:t>SSBRI(s)/CRI(s), where the SSBRI(s)/CRI(s) is selected by the UE from a candidate SSB/CSI-RS resource pool (FFS: how to perform the selection)</w:t>
      </w:r>
    </w:p>
    <w:p>
      <w:pPr>
        <w:pStyle w:val="111"/>
        <w:numPr>
          <w:ilvl w:val="2"/>
          <w:numId w:val="8"/>
        </w:numPr>
        <w:snapToGrid w:val="0"/>
        <w:spacing w:before="60" w:beforeLines="25" w:after="120" w:afterLines="50" w:line="300" w:lineRule="auto"/>
        <w:ind w:left="1276" w:firstLineChars="0"/>
        <w:jc w:val="both"/>
        <w:rPr>
          <w:rFonts w:eastAsia="Times New Roman"/>
          <w:strike/>
          <w:color w:val="FF0000"/>
          <w:szCs w:val="20"/>
          <w:lang w:val="en-GB" w:eastAsia="ja-JP"/>
        </w:rPr>
      </w:pPr>
      <w:r>
        <w:rPr>
          <w:rFonts w:eastAsia="Times New Roman"/>
          <w:strike/>
          <w:color w:val="FF0000"/>
          <w:szCs w:val="20"/>
          <w:lang w:val="en-GB" w:eastAsia="ja-JP"/>
        </w:rPr>
        <w:t>FFS: The supported value(s) of M</w:t>
      </w:r>
    </w:p>
    <w:p>
      <w:pPr>
        <w:pStyle w:val="109"/>
        <w:numPr>
          <w:ilvl w:val="0"/>
          <w:numId w:val="8"/>
        </w:numPr>
        <w:overflowPunct w:val="0"/>
        <w:autoSpaceDE w:val="0"/>
        <w:autoSpaceDN w:val="0"/>
        <w:adjustRightInd w:val="0"/>
        <w:snapToGrid w:val="0"/>
        <w:spacing w:before="60" w:beforeLines="25" w:after="60" w:afterLines="25" w:line="300" w:lineRule="auto"/>
        <w:ind w:left="400" w:firstLineChars="0"/>
        <w:jc w:val="both"/>
        <w:textAlignment w:val="baseline"/>
        <w:rPr>
          <w:i/>
          <w:szCs w:val="20"/>
        </w:rPr>
      </w:pPr>
      <w:r>
        <w:rPr>
          <w:i/>
          <w:szCs w:val="20"/>
        </w:rPr>
        <w:t>Introduc</w:t>
      </w:r>
      <w:r>
        <w:rPr>
          <w:rFonts w:hint="eastAsia" w:eastAsia="宋体"/>
          <w:i/>
          <w:szCs w:val="20"/>
        </w:rPr>
        <w:t>e</w:t>
      </w:r>
      <w:r>
        <w:rPr>
          <w:i/>
          <w:szCs w:val="20"/>
        </w:rPr>
        <w:t xml:space="preserve"> modified virtual PHR for each P-MPR value and SSBRI(s)/CRI(s)</w:t>
      </w:r>
    </w:p>
    <w:p>
      <w:pPr>
        <w:pStyle w:val="111"/>
        <w:numPr>
          <w:ilvl w:val="1"/>
          <w:numId w:val="8"/>
        </w:numPr>
        <w:snapToGrid w:val="0"/>
        <w:spacing w:before="60" w:beforeLines="25" w:after="120" w:afterLines="50" w:line="300" w:lineRule="auto"/>
        <w:ind w:left="851" w:firstLineChars="0"/>
        <w:jc w:val="both"/>
        <w:rPr>
          <w:i/>
          <w:szCs w:val="20"/>
        </w:rPr>
      </w:pPr>
      <w:r>
        <w:rPr>
          <w:i/>
          <w:szCs w:val="20"/>
        </w:rPr>
        <w:t>The Pcmax to calculate the modified virtual PHR takes into account the P-MPR based on MPE impact</w:t>
      </w:r>
    </w:p>
    <w:p>
      <w:pPr>
        <w:pStyle w:val="111"/>
        <w:numPr>
          <w:ilvl w:val="1"/>
          <w:numId w:val="8"/>
        </w:numPr>
        <w:overflowPunct w:val="0"/>
        <w:autoSpaceDE w:val="0"/>
        <w:autoSpaceDN w:val="0"/>
        <w:adjustRightInd w:val="0"/>
        <w:snapToGrid w:val="0"/>
        <w:spacing w:before="60" w:beforeLines="25" w:after="120" w:afterLines="50" w:line="300" w:lineRule="auto"/>
        <w:ind w:left="851" w:firstLineChars="0"/>
        <w:jc w:val="both"/>
        <w:textAlignment w:val="baseline"/>
        <w:rPr>
          <w:i/>
          <w:szCs w:val="20"/>
          <w:lang w:val="en-GB"/>
        </w:rPr>
      </w:pPr>
      <w:r>
        <w:rPr>
          <w:i/>
          <w:szCs w:val="20"/>
        </w:rPr>
        <w:t xml:space="preserve">The pathloss to calculate the modified virtual PHR is based on measured L1-RSRP for corresponding SSBRI(s)/CRI(s) </w:t>
      </w:r>
    </w:p>
    <w:p>
      <w:pPr>
        <w:widowControl w:val="0"/>
        <w:snapToGrid w:val="0"/>
        <w:spacing w:before="60" w:beforeLines="25" w:after="120" w:afterLines="50" w:line="300" w:lineRule="auto"/>
        <w:jc w:val="both"/>
        <w:rPr>
          <w:rFonts w:eastAsia="微软雅黑"/>
          <w:szCs w:val="20"/>
        </w:rPr>
      </w:pPr>
      <w:r>
        <w:rPr>
          <w:rFonts w:hint="eastAsia" w:eastAsia="微软雅黑"/>
          <w:szCs w:val="20"/>
        </w:rPr>
        <w:t xml:space="preserve">In addition, common beam updated cross </w:t>
      </w:r>
      <w:r>
        <w:rPr>
          <w:rFonts w:eastAsia="微软雅黑"/>
          <w:szCs w:val="20"/>
        </w:rPr>
        <w:t>multiple CCs</w:t>
      </w:r>
      <w:r>
        <w:rPr>
          <w:rFonts w:hint="eastAsia" w:eastAsia="微软雅黑"/>
          <w:szCs w:val="20"/>
        </w:rPr>
        <w:t xml:space="preserve"> has been supported.</w:t>
      </w:r>
      <w:r>
        <w:rPr>
          <w:rFonts w:eastAsia="微软雅黑"/>
          <w:szCs w:val="20"/>
        </w:rPr>
        <w:t xml:space="preserve"> </w:t>
      </w:r>
      <w:r>
        <w:rPr>
          <w:rFonts w:hint="eastAsia" w:eastAsia="微软雅黑"/>
          <w:szCs w:val="20"/>
        </w:rPr>
        <w:t xml:space="preserve">MPE which is tightly related to beam direction should also be considered to be same or similar among different CCs for a given beam direction. For the sake of overhead reduction, a set of beam specific MPE (P-MPR) values </w:t>
      </w:r>
      <w:r>
        <w:rPr>
          <w:rFonts w:eastAsia="微软雅黑"/>
          <w:szCs w:val="20"/>
        </w:rPr>
        <w:t>may</w:t>
      </w:r>
      <w:r>
        <w:rPr>
          <w:rFonts w:hint="eastAsia" w:eastAsia="微软雅黑"/>
          <w:szCs w:val="20"/>
        </w:rPr>
        <w:t xml:space="preserve"> be shared among a group of CCs.</w:t>
      </w:r>
      <w:r>
        <w:rPr>
          <w:rFonts w:eastAsia="微软雅黑"/>
          <w:szCs w:val="20"/>
        </w:rPr>
        <w:t xml:space="preserve"> </w:t>
      </w:r>
    </w:p>
    <w:p>
      <w:pPr>
        <w:keepNext/>
        <w:widowControl w:val="0"/>
        <w:numPr>
          <w:ilvl w:val="0"/>
          <w:numId w:val="7"/>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Advanced beam training/tracking with latency reduction </w:t>
      </w:r>
    </w:p>
    <w:p>
      <w:pPr>
        <w:snapToGrid w:val="0"/>
        <w:spacing w:before="120" w:after="120" w:afterLines="50" w:line="300" w:lineRule="auto"/>
        <w:jc w:val="both"/>
        <w:rPr>
          <w:szCs w:val="20"/>
        </w:rPr>
      </w:pPr>
      <w:r>
        <w:rPr>
          <w:szCs w:val="20"/>
        </w:rPr>
        <w:t xml:space="preserve">In RAN1#106-e, the following agreement was reached for </w:t>
      </w:r>
      <w:r>
        <w:rPr>
          <w:rFonts w:ascii="Times" w:hAnsi="Times" w:eastAsia="Batang" w:cs="Times"/>
          <w:lang w:val="en-GB" w:eastAsia="en-US"/>
        </w:rPr>
        <w:t>beam refinement/tracking</w:t>
      </w:r>
      <w:r>
        <w:rPr>
          <w:szCs w:val="20"/>
        </w:rPr>
        <w:t>.</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jc w:val="both"/>
              <w:rPr>
                <w:rFonts w:cs="Times"/>
                <w:b/>
                <w:bCs/>
                <w:szCs w:val="20"/>
                <w:u w:val="single"/>
              </w:rPr>
            </w:pPr>
            <w:r>
              <w:rPr>
                <w:rFonts w:cs="Times"/>
                <w:b/>
                <w:bCs/>
                <w:szCs w:val="20"/>
                <w:u w:val="single"/>
              </w:rPr>
              <w:t>Agreement</w:t>
            </w:r>
          </w:p>
          <w:p>
            <w:pPr>
              <w:spacing w:after="0" w:line="240" w:lineRule="auto"/>
              <w:jc w:val="both"/>
              <w:rPr>
                <w:rFonts w:ascii="Times" w:hAnsi="Times" w:eastAsia="Batang" w:cs="Times"/>
                <w:lang w:val="en-GB" w:eastAsia="en-US"/>
              </w:rPr>
            </w:pPr>
            <w:r>
              <w:rPr>
                <w:rFonts w:ascii="Times" w:hAnsi="Times" w:eastAsia="Batang" w:cs="Times"/>
                <w:lang w:val="en-GB" w:eastAsia="en-US"/>
              </w:rPr>
              <w:t>On Rel-17 enhancements to facilitate advanced beam refinement/tracking, in Rel-17, further</w:t>
            </w:r>
            <w:r>
              <w:rPr>
                <w:rStyle w:val="44"/>
                <w:rFonts w:eastAsia="Batang" w:cs="Times"/>
                <w:lang w:val="en-GB" w:eastAsia="en-US"/>
              </w:rPr>
              <w:t> </w:t>
            </w:r>
            <w:r>
              <w:rPr>
                <w:rFonts w:ascii="Times" w:hAnsi="Times" w:eastAsia="Batang" w:cs="Times"/>
                <w:lang w:val="en-GB" w:eastAsia="en-US"/>
              </w:rPr>
              <w:t>focus study (including down-selection) and, if needed, specification effort on Opt 1-A as agreed in RAN1#105-e (UE -initiated beam selection/activation based on beam measurement and/or reporting, without beam indication or activation from NW) comprising:</w:t>
            </w:r>
            <w:r>
              <w:rPr>
                <w:rStyle w:val="44"/>
                <w:rFonts w:eastAsia="Batang" w:cs="Times"/>
                <w:lang w:val="en-GB" w:eastAsia="en-US"/>
              </w:rPr>
              <w:t> </w:t>
            </w:r>
          </w:p>
          <w:p>
            <w:pPr>
              <w:numPr>
                <w:ilvl w:val="0"/>
                <w:numId w:val="24"/>
              </w:numPr>
              <w:spacing w:after="0" w:line="240" w:lineRule="auto"/>
              <w:rPr>
                <w:rFonts w:ascii="Times" w:hAnsi="Times" w:eastAsia="Times New Roman" w:cs="Times"/>
                <w:lang w:val="en-GB" w:eastAsia="en-US"/>
              </w:rPr>
            </w:pPr>
            <w:r>
              <w:rPr>
                <w:rFonts w:ascii="Times" w:hAnsi="Times" w:eastAsia="Times New Roman" w:cs="Times"/>
                <w:lang w:val="en-GB" w:eastAsia="en-US"/>
              </w:rPr>
              <w:t>UE -initiated (DL-only or DL/UL) beam selection, including the following options</w:t>
            </w:r>
          </w:p>
          <w:p>
            <w:pPr>
              <w:numPr>
                <w:ilvl w:val="1"/>
                <w:numId w:val="24"/>
              </w:numPr>
              <w:spacing w:after="0" w:line="240" w:lineRule="auto"/>
              <w:rPr>
                <w:rFonts w:ascii="Times" w:hAnsi="Times" w:eastAsia="Times New Roman" w:cs="Times"/>
                <w:lang w:val="en-GB" w:eastAsia="en-US"/>
              </w:rPr>
            </w:pPr>
            <w:r>
              <w:rPr>
                <w:rFonts w:ascii="Times" w:hAnsi="Times" w:eastAsia="Times New Roman" w:cs="Times"/>
                <w:lang w:val="en-GB" w:eastAsia="en-US"/>
              </w:rPr>
              <w:t>Opt1. The selected beam is reported by an event-triggered UE beam reporting via, e.g. UCI , MAC CE, UL CG, or Type 1/Type 2 CBRA/CFRA</w:t>
            </w:r>
          </w:p>
          <w:p>
            <w:pPr>
              <w:numPr>
                <w:ilvl w:val="1"/>
                <w:numId w:val="24"/>
              </w:numPr>
              <w:spacing w:after="0" w:line="240" w:lineRule="auto"/>
              <w:rPr>
                <w:rFonts w:ascii="Times" w:hAnsi="Times" w:eastAsia="Times New Roman" w:cs="Times"/>
                <w:lang w:val="en-GB" w:eastAsia="en-US"/>
              </w:rPr>
            </w:pPr>
            <w:r>
              <w:rPr>
                <w:rFonts w:ascii="Times" w:hAnsi="Times" w:eastAsia="Times New Roman" w:cs="Times"/>
                <w:lang w:val="en-GB" w:eastAsia="en-US"/>
              </w:rPr>
              <w:t>Opt2. The selected beam is reported by a legacy UE beam report (NW-configured)</w:t>
            </w:r>
          </w:p>
          <w:p>
            <w:pPr>
              <w:numPr>
                <w:ilvl w:val="1"/>
                <w:numId w:val="24"/>
              </w:numPr>
              <w:spacing w:after="0" w:line="240" w:lineRule="auto"/>
              <w:rPr>
                <w:rFonts w:ascii="Times" w:hAnsi="Times" w:eastAsia="Times New Roman" w:cs="Times"/>
                <w:lang w:val="en-GB" w:eastAsia="en-US"/>
              </w:rPr>
            </w:pPr>
            <w:r>
              <w:rPr>
                <w:rFonts w:ascii="Times" w:hAnsi="Times" w:eastAsia="Times New Roman" w:cs="Times"/>
                <w:lang w:val="en-GB" w:eastAsia="en-US"/>
              </w:rPr>
              <w:t>FFS on triggering condition and NW-indication of a beam group in which the UE is allowed to do the beam selection, e.g., the NW-indication via MAC-CE</w:t>
            </w:r>
          </w:p>
          <w:p>
            <w:pPr>
              <w:numPr>
                <w:ilvl w:val="1"/>
                <w:numId w:val="24"/>
              </w:numPr>
              <w:spacing w:after="0" w:line="240" w:lineRule="auto"/>
              <w:rPr>
                <w:rFonts w:ascii="Times" w:hAnsi="Times" w:eastAsia="Times New Roman" w:cs="Times"/>
                <w:lang w:val="en-GB" w:eastAsia="en-US"/>
              </w:rPr>
            </w:pPr>
            <w:r>
              <w:rPr>
                <w:rFonts w:ascii="Times" w:hAnsi="Times" w:eastAsia="Times New Roman" w:cs="Times"/>
                <w:lang w:val="en-GB" w:eastAsia="en-US"/>
              </w:rPr>
              <w:t>FFS : NW confirmation, e.g. if no NW beam selection command overwriting the selected beam is received in a time window after the report</w:t>
            </w:r>
          </w:p>
          <w:p>
            <w:pPr>
              <w:numPr>
                <w:ilvl w:val="0"/>
                <w:numId w:val="24"/>
              </w:numPr>
              <w:spacing w:after="0" w:line="240" w:lineRule="auto"/>
              <w:rPr>
                <w:rFonts w:ascii="Times" w:hAnsi="Times" w:eastAsia="Times New Roman" w:cs="Times"/>
                <w:lang w:val="en-GB" w:eastAsia="en-US"/>
              </w:rPr>
            </w:pPr>
            <w:r>
              <w:rPr>
                <w:rFonts w:ascii="Times" w:hAnsi="Times" w:eastAsia="Times New Roman" w:cs="Times"/>
                <w:lang w:val="en-GB" w:eastAsia="en-US"/>
              </w:rPr>
              <w:t>UE-initiated beam activation based on beam reporting </w:t>
            </w:r>
            <w:r>
              <w:rPr>
                <w:rFonts w:ascii="Times" w:hAnsi="Times" w:eastAsia="Times New Roman"/>
                <w:szCs w:val="24"/>
                <w:lang w:val="en-GB" w:eastAsia="en-US"/>
              </w:rPr>
              <w:t> </w:t>
            </w:r>
          </w:p>
          <w:p>
            <w:pPr>
              <w:numPr>
                <w:ilvl w:val="1"/>
                <w:numId w:val="24"/>
              </w:numPr>
              <w:spacing w:after="0" w:line="240" w:lineRule="auto"/>
              <w:rPr>
                <w:rFonts w:ascii="Times" w:hAnsi="Times" w:eastAsia="Times New Roman" w:cs="Times"/>
                <w:lang w:val="en-GB" w:eastAsia="en-US"/>
              </w:rPr>
            </w:pPr>
            <w:r>
              <w:rPr>
                <w:rFonts w:ascii="Times" w:hAnsi="Times" w:eastAsia="Times New Roman" w:cs="Times"/>
                <w:lang w:val="en-GB" w:eastAsia="en-US"/>
              </w:rPr>
              <w:t>The reported beam(s) are activated as active TCI/spatial relation RS(s) automatically w/o NW activation command after receiving gNB response signalling , e.g. DCI/MAC CE</w:t>
            </w:r>
          </w:p>
          <w:p>
            <w:pPr>
              <w:numPr>
                <w:ilvl w:val="1"/>
                <w:numId w:val="24"/>
              </w:numPr>
              <w:spacing w:after="0" w:line="240" w:lineRule="auto"/>
              <w:rPr>
                <w:rFonts w:ascii="Times" w:hAnsi="Times" w:eastAsia="Times New Roman" w:cs="Times"/>
                <w:lang w:val="en-GB" w:eastAsia="en-US"/>
              </w:rPr>
            </w:pPr>
            <w:r>
              <w:rPr>
                <w:rFonts w:ascii="Times" w:hAnsi="Times" w:eastAsia="Times New Roman" w:cs="Times"/>
                <w:lang w:val="en-GB" w:eastAsia="en-US"/>
              </w:rPr>
              <w:t>FFS : The reported beam is applied directly if the number of supported activated beam by the UE is one and/or after receiving gNB response signaling, or if no NW activation command overwrites the beam(s) activated by the report in a time window after the report</w:t>
            </w:r>
          </w:p>
          <w:p>
            <w:pPr>
              <w:numPr>
                <w:ilvl w:val="0"/>
                <w:numId w:val="24"/>
              </w:numPr>
              <w:spacing w:after="0" w:line="240" w:lineRule="auto"/>
              <w:rPr>
                <w:rFonts w:ascii="Times" w:hAnsi="Times" w:eastAsia="Times New Roman" w:cs="Times"/>
                <w:lang w:val="en-GB" w:eastAsia="en-US"/>
              </w:rPr>
            </w:pPr>
            <w:r>
              <w:rPr>
                <w:rFonts w:ascii="Times" w:hAnsi="Times" w:eastAsia="Times New Roman" w:cs="Times"/>
                <w:lang w:val="en-GB" w:eastAsia="en-US"/>
              </w:rPr>
              <w:t>UE -initiated UL-only beam selection considering potential misalignment between network and UE on the selected beams</w:t>
            </w:r>
          </w:p>
          <w:p>
            <w:pPr>
              <w:numPr>
                <w:ilvl w:val="1"/>
                <w:numId w:val="24"/>
              </w:numPr>
              <w:spacing w:after="0" w:line="240" w:lineRule="auto"/>
            </w:pPr>
            <w:r>
              <w:rPr>
                <w:rFonts w:ascii="Times" w:hAnsi="Times" w:eastAsia="Times New Roman" w:cs="Times"/>
                <w:lang w:val="en-GB" w:eastAsia="en-US"/>
              </w:rPr>
              <w:t>The UE can select an alternative beam from the other beams in the gNB -configured set containing more than one UL beam</w:t>
            </w:r>
          </w:p>
        </w:tc>
      </w:tr>
    </w:tbl>
    <w:p>
      <w:pPr>
        <w:pStyle w:val="109"/>
        <w:numPr>
          <w:ilvl w:val="255"/>
          <w:numId w:val="0"/>
        </w:numPr>
        <w:snapToGrid w:val="0"/>
        <w:spacing w:before="60" w:beforeLines="25" w:after="60" w:afterLines="25" w:line="300" w:lineRule="auto"/>
        <w:jc w:val="both"/>
        <w:rPr>
          <w:rFonts w:eastAsia="微软雅黑"/>
          <w:bCs/>
          <w:iCs/>
          <w:szCs w:val="20"/>
        </w:rPr>
      </w:pPr>
      <w:r>
        <w:rPr>
          <w:rFonts w:eastAsia="微软雅黑"/>
          <w:bCs/>
          <w:iCs/>
          <w:szCs w:val="20"/>
        </w:rPr>
        <w:t xml:space="preserve">Considering that only few meetings are left, we should focus on a single above sub-topic. In our views, the reliability and benefits of UE-initialized beam selection should be well justified considering that there is no gNB response, and then we slightly prefer UE-initiated beam activation based on beam reporting. </w:t>
      </w:r>
    </w:p>
    <w:p>
      <w:pPr>
        <w:pStyle w:val="109"/>
        <w:numPr>
          <w:ilvl w:val="255"/>
          <w:numId w:val="0"/>
        </w:numPr>
        <w:snapToGrid w:val="0"/>
        <w:spacing w:before="60" w:beforeLines="25" w:after="60" w:afterLines="25" w:line="300" w:lineRule="auto"/>
        <w:jc w:val="both"/>
        <w:rPr>
          <w:rFonts w:eastAsia="微软雅黑"/>
          <w:bCs/>
          <w:iCs/>
          <w:szCs w:val="20"/>
        </w:rPr>
      </w:pPr>
      <w:r>
        <w:rPr>
          <w:rFonts w:eastAsia="微软雅黑"/>
          <w:bCs/>
          <w:iCs/>
          <w:szCs w:val="20"/>
        </w:rPr>
        <w:t>In order to guarantee the gNB scheduling flexibility, the UE should support the case that t</w:t>
      </w:r>
      <w:r>
        <w:rPr>
          <w:rFonts w:hint="eastAsia" w:eastAsia="微软雅黑"/>
          <w:bCs/>
          <w:iCs/>
          <w:szCs w:val="20"/>
        </w:rPr>
        <w:t>he number of reported CRI</w:t>
      </w:r>
      <w:r>
        <w:rPr>
          <w:rFonts w:eastAsia="微软雅黑"/>
          <w:bCs/>
          <w:iCs/>
          <w:szCs w:val="20"/>
        </w:rPr>
        <w:t>(s)</w:t>
      </w:r>
      <w:r>
        <w:rPr>
          <w:rFonts w:hint="eastAsia" w:eastAsia="微软雅黑"/>
          <w:bCs/>
          <w:iCs/>
          <w:szCs w:val="20"/>
        </w:rPr>
        <w:t xml:space="preserve"> is larger than 1, </w:t>
      </w:r>
      <w:r>
        <w:rPr>
          <w:rFonts w:eastAsia="微软雅黑"/>
          <w:bCs/>
          <w:iCs/>
          <w:szCs w:val="20"/>
        </w:rPr>
        <w:t xml:space="preserve">and then </w:t>
      </w:r>
      <w:r>
        <w:rPr>
          <w:rFonts w:hint="eastAsia" w:eastAsia="微软雅黑"/>
          <w:bCs/>
          <w:iCs/>
          <w:szCs w:val="20"/>
        </w:rPr>
        <w:t xml:space="preserve">the multiple reported </w:t>
      </w:r>
      <w:r>
        <w:rPr>
          <w:rFonts w:eastAsia="微软雅黑"/>
          <w:bCs/>
          <w:iCs/>
          <w:szCs w:val="20"/>
        </w:rPr>
        <w:t>SSBRIs/</w:t>
      </w:r>
      <w:r>
        <w:rPr>
          <w:rFonts w:hint="eastAsia" w:eastAsia="微软雅黑"/>
          <w:bCs/>
          <w:iCs/>
          <w:szCs w:val="20"/>
        </w:rPr>
        <w:t xml:space="preserve">CRIs can be mapped to multiple TCI codepoints </w:t>
      </w:r>
      <w:r>
        <w:rPr>
          <w:rFonts w:eastAsia="微软雅黑"/>
          <w:bCs/>
          <w:iCs/>
          <w:szCs w:val="20"/>
        </w:rPr>
        <w:t>by order for</w:t>
      </w:r>
      <w:r>
        <w:rPr>
          <w:rFonts w:hint="eastAsia" w:eastAsia="微软雅黑"/>
          <w:bCs/>
          <w:iCs/>
          <w:szCs w:val="20"/>
        </w:rPr>
        <w:t xml:space="preserve"> reduc</w:t>
      </w:r>
      <w:r>
        <w:rPr>
          <w:rFonts w:eastAsia="微软雅黑"/>
          <w:bCs/>
          <w:iCs/>
          <w:szCs w:val="20"/>
        </w:rPr>
        <w:t>ing</w:t>
      </w:r>
      <w:r>
        <w:rPr>
          <w:rFonts w:hint="eastAsia" w:eastAsia="微软雅黑"/>
          <w:bCs/>
          <w:iCs/>
          <w:szCs w:val="20"/>
        </w:rPr>
        <w:t xml:space="preserve"> the transmission of MAC-CE. </w:t>
      </w:r>
      <w:r>
        <w:rPr>
          <w:rFonts w:eastAsia="微软雅黑"/>
          <w:bCs/>
          <w:iCs/>
          <w:szCs w:val="20"/>
        </w:rPr>
        <w:t xml:space="preserve">Regarding </w:t>
      </w:r>
      <w:r>
        <w:rPr>
          <w:rFonts w:hint="eastAsia" w:eastAsia="微软雅黑"/>
          <w:bCs/>
          <w:iCs/>
          <w:szCs w:val="20"/>
        </w:rPr>
        <w:t>beam misalignment between gNB and UE when the report</w:t>
      </w:r>
      <w:r>
        <w:rPr>
          <w:rFonts w:eastAsia="微软雅黑"/>
          <w:bCs/>
          <w:iCs/>
          <w:szCs w:val="20"/>
        </w:rPr>
        <w:t xml:space="preserve"> instance can NOT</w:t>
      </w:r>
      <w:r>
        <w:rPr>
          <w:rFonts w:hint="eastAsia" w:eastAsia="微软雅黑"/>
          <w:bCs/>
          <w:iCs/>
          <w:szCs w:val="20"/>
        </w:rPr>
        <w:t xml:space="preserve"> </w:t>
      </w:r>
      <w:r>
        <w:rPr>
          <w:rFonts w:eastAsia="微软雅黑"/>
          <w:bCs/>
          <w:iCs/>
          <w:szCs w:val="20"/>
        </w:rPr>
        <w:t xml:space="preserve">be </w:t>
      </w:r>
      <w:r>
        <w:rPr>
          <w:rFonts w:hint="eastAsia" w:eastAsia="微软雅黑"/>
          <w:bCs/>
          <w:iCs/>
          <w:szCs w:val="20"/>
        </w:rPr>
        <w:t xml:space="preserve">received by gNB, the mapping is available only if the UE receives acknowledge from gNB. </w:t>
      </w:r>
      <w:r>
        <w:rPr>
          <w:rFonts w:eastAsia="微软雅黑"/>
          <w:bCs/>
          <w:iCs/>
          <w:szCs w:val="20"/>
        </w:rPr>
        <w:t xml:space="preserve">From signaling perspective, </w:t>
      </w:r>
      <w:r>
        <w:rPr>
          <w:rFonts w:hint="eastAsia" w:eastAsia="微软雅黑"/>
          <w:bCs/>
          <w:iCs/>
          <w:szCs w:val="20"/>
        </w:rPr>
        <w:t>acknowledge</w:t>
      </w:r>
      <w:r>
        <w:rPr>
          <w:rFonts w:eastAsia="微软雅黑"/>
          <w:bCs/>
          <w:iCs/>
          <w:szCs w:val="20"/>
        </w:rPr>
        <w:t xml:space="preserve"> from gNB side</w:t>
      </w:r>
      <w:r>
        <w:rPr>
          <w:rFonts w:hint="eastAsia" w:eastAsia="微软雅黑"/>
          <w:bCs/>
          <w:iCs/>
          <w:szCs w:val="20"/>
        </w:rPr>
        <w:t xml:space="preserve"> and TCI codep</w:t>
      </w:r>
      <w:r>
        <w:rPr>
          <w:rFonts w:eastAsia="微软雅黑"/>
          <w:bCs/>
          <w:iCs/>
          <w:szCs w:val="20"/>
        </w:rPr>
        <w:t>o</w:t>
      </w:r>
      <w:r>
        <w:rPr>
          <w:rFonts w:hint="eastAsia" w:eastAsia="微软雅黑"/>
          <w:bCs/>
          <w:iCs/>
          <w:szCs w:val="20"/>
        </w:rPr>
        <w:t xml:space="preserve">int indicator can be </w:t>
      </w:r>
      <w:r>
        <w:rPr>
          <w:rFonts w:eastAsia="微软雅黑"/>
          <w:bCs/>
          <w:iCs/>
          <w:szCs w:val="20"/>
        </w:rPr>
        <w:t xml:space="preserve">carried </w:t>
      </w:r>
      <w:r>
        <w:rPr>
          <w:rFonts w:hint="eastAsia" w:eastAsia="微软雅黑"/>
          <w:bCs/>
          <w:iCs/>
          <w:szCs w:val="20"/>
        </w:rPr>
        <w:t xml:space="preserve">in </w:t>
      </w:r>
      <w:r>
        <w:rPr>
          <w:rFonts w:eastAsia="微软雅黑"/>
          <w:bCs/>
          <w:iCs/>
          <w:szCs w:val="20"/>
        </w:rPr>
        <w:t>the</w:t>
      </w:r>
      <w:r>
        <w:rPr>
          <w:rFonts w:hint="eastAsia" w:eastAsia="微软雅黑"/>
          <w:bCs/>
          <w:iCs/>
          <w:szCs w:val="20"/>
        </w:rPr>
        <w:t xml:space="preserve"> same DCI. For example, when the DCI indicates a predefined TCI codepoint and the DCI is in a predefined search space, then the UE knows that the gNB receives the reporting and the mapping is updated by the last reported SSBRIs/CRIs.</w:t>
      </w:r>
    </w:p>
    <w:p>
      <w:pPr>
        <w:snapToGrid w:val="0"/>
        <w:spacing w:before="120" w:after="120" w:afterLines="50"/>
        <w:jc w:val="both"/>
        <w:rPr>
          <w:rFonts w:eastAsia="宋体"/>
          <w:bCs/>
          <w:i/>
          <w:szCs w:val="20"/>
        </w:rPr>
      </w:pPr>
      <w:r>
        <w:rPr>
          <w:b/>
          <w:i/>
          <w:szCs w:val="20"/>
        </w:rPr>
        <w:t xml:space="preserve">Proposal </w:t>
      </w:r>
      <w:r>
        <w:rPr>
          <w:rFonts w:hint="eastAsia" w:eastAsia="宋体"/>
          <w:b/>
          <w:i/>
          <w:szCs w:val="20"/>
        </w:rPr>
        <w:t>18</w:t>
      </w:r>
      <w:r>
        <w:rPr>
          <w:b/>
          <w:i/>
          <w:szCs w:val="20"/>
        </w:rPr>
        <w:t xml:space="preserve">: </w:t>
      </w:r>
      <w:r>
        <w:rPr>
          <w:rFonts w:eastAsia="微软雅黑"/>
          <w:bCs/>
          <w:i/>
          <w:szCs w:val="20"/>
        </w:rPr>
        <w:t>To</w:t>
      </w:r>
      <w:r>
        <w:rPr>
          <w:rFonts w:hint="eastAsia" w:eastAsia="微软雅黑"/>
          <w:bCs/>
          <w:i/>
          <w:szCs w:val="20"/>
        </w:rPr>
        <w:t xml:space="preserve"> </w:t>
      </w:r>
      <w:r>
        <w:rPr>
          <w:rFonts w:eastAsia="微软雅黑"/>
          <w:bCs/>
          <w:i/>
          <w:szCs w:val="20"/>
        </w:rPr>
        <w:t xml:space="preserve">support enhancements on UE-initiated beam activation based on legacy beam report </w:t>
      </w:r>
    </w:p>
    <w:p>
      <w:pPr>
        <w:pStyle w:val="109"/>
        <w:numPr>
          <w:ilvl w:val="0"/>
          <w:numId w:val="8"/>
        </w:numPr>
        <w:snapToGrid w:val="0"/>
        <w:spacing w:before="60" w:beforeLines="25" w:after="60" w:afterLines="25" w:line="300" w:lineRule="auto"/>
        <w:ind w:left="400" w:hanging="420" w:firstLineChars="0"/>
        <w:jc w:val="both"/>
        <w:rPr>
          <w:rFonts w:eastAsia="微软雅黑"/>
          <w:bCs/>
          <w:i/>
          <w:szCs w:val="20"/>
        </w:rPr>
      </w:pPr>
      <w:r>
        <w:rPr>
          <w:rFonts w:eastAsia="微软雅黑"/>
          <w:bCs/>
          <w:i/>
          <w:szCs w:val="20"/>
        </w:rPr>
        <w:t>UE assumes that m</w:t>
      </w:r>
      <w:r>
        <w:rPr>
          <w:rFonts w:hint="eastAsia" w:eastAsia="微软雅黑"/>
          <w:bCs/>
          <w:i/>
          <w:szCs w:val="20"/>
        </w:rPr>
        <w:t xml:space="preserve">ultiple reported CRIs </w:t>
      </w:r>
      <w:r>
        <w:rPr>
          <w:rFonts w:eastAsia="微软雅黑"/>
          <w:bCs/>
          <w:i/>
          <w:szCs w:val="20"/>
        </w:rPr>
        <w:t xml:space="preserve">are </w:t>
      </w:r>
      <w:r>
        <w:rPr>
          <w:rFonts w:hint="eastAsia" w:eastAsia="微软雅黑"/>
          <w:bCs/>
          <w:i/>
          <w:szCs w:val="20"/>
        </w:rPr>
        <w:t>mapped to</w:t>
      </w:r>
      <w:r>
        <w:rPr>
          <w:rFonts w:eastAsia="微软雅黑"/>
          <w:bCs/>
          <w:i/>
          <w:szCs w:val="20"/>
        </w:rPr>
        <w:t xml:space="preserve"> corresponding </w:t>
      </w:r>
      <w:r>
        <w:rPr>
          <w:rFonts w:hint="eastAsia" w:eastAsia="微软雅黑"/>
          <w:bCs/>
          <w:i/>
          <w:szCs w:val="20"/>
        </w:rPr>
        <w:t>TCI codepoints</w:t>
      </w:r>
      <w:r>
        <w:rPr>
          <w:rFonts w:eastAsia="微软雅黑"/>
          <w:bCs/>
          <w:i/>
          <w:szCs w:val="20"/>
        </w:rPr>
        <w:t>.</w:t>
      </w:r>
    </w:p>
    <w:p>
      <w:pPr>
        <w:pStyle w:val="109"/>
        <w:numPr>
          <w:ilvl w:val="0"/>
          <w:numId w:val="8"/>
        </w:numPr>
        <w:snapToGrid w:val="0"/>
        <w:spacing w:before="60" w:beforeLines="25" w:after="60" w:afterLines="25" w:line="300" w:lineRule="auto"/>
        <w:ind w:left="400" w:firstLineChars="0"/>
        <w:jc w:val="both"/>
        <w:rPr>
          <w:rFonts w:eastAsia="微软雅黑"/>
          <w:bCs/>
          <w:i/>
          <w:szCs w:val="20"/>
        </w:rPr>
      </w:pPr>
      <w:r>
        <w:rPr>
          <w:rFonts w:eastAsia="微软雅黑"/>
          <w:bCs/>
          <w:i/>
          <w:szCs w:val="20"/>
        </w:rPr>
        <w:t xml:space="preserve">The reported beam(s) are activated as active TCI/spatial relation RS(s) automatically w/o NW activation command after receiving </w:t>
      </w:r>
    </w:p>
    <w:p>
      <w:pPr>
        <w:pStyle w:val="109"/>
        <w:widowControl w:val="0"/>
        <w:numPr>
          <w:ilvl w:val="0"/>
          <w:numId w:val="8"/>
        </w:numPr>
        <w:snapToGrid w:val="0"/>
        <w:spacing w:before="60" w:beforeLines="25" w:after="60" w:afterLines="25" w:line="300" w:lineRule="auto"/>
        <w:ind w:left="400" w:firstLineChars="0"/>
        <w:jc w:val="both"/>
        <w:rPr>
          <w:rFonts w:eastAsia="宋体"/>
          <w:b/>
          <w:sz w:val="21"/>
          <w:szCs w:val="20"/>
        </w:rPr>
      </w:pPr>
      <w:r>
        <w:rPr>
          <w:rFonts w:eastAsia="微软雅黑"/>
          <w:bCs/>
          <w:i/>
          <w:szCs w:val="20"/>
        </w:rPr>
        <w:t>DL</w:t>
      </w:r>
      <w:r>
        <w:rPr>
          <w:rFonts w:hint="eastAsia" w:eastAsia="微软雅黑"/>
          <w:bCs/>
          <w:i/>
          <w:szCs w:val="20"/>
        </w:rPr>
        <w:t xml:space="preserve"> DCI </w:t>
      </w:r>
      <w:r>
        <w:rPr>
          <w:rFonts w:eastAsia="微软雅黑"/>
          <w:bCs/>
          <w:i/>
          <w:szCs w:val="20"/>
        </w:rPr>
        <w:t xml:space="preserve">with </w:t>
      </w:r>
      <w:r>
        <w:rPr>
          <w:rFonts w:hint="eastAsia" w:eastAsia="微软雅黑"/>
          <w:bCs/>
          <w:i/>
          <w:szCs w:val="20"/>
        </w:rPr>
        <w:t xml:space="preserve">TCI codepoint indication </w:t>
      </w:r>
      <w:r>
        <w:rPr>
          <w:rFonts w:eastAsia="微软雅黑"/>
          <w:bCs/>
          <w:i/>
          <w:szCs w:val="20"/>
        </w:rPr>
        <w:t>that carries the gNB acknowledge/response message</w:t>
      </w:r>
      <w:r>
        <w:rPr>
          <w:rFonts w:hint="eastAsia" w:eastAsia="微软雅黑"/>
          <w:bCs/>
          <w:iCs/>
          <w:szCs w:val="20"/>
        </w:rPr>
        <w:t>.</w:t>
      </w:r>
    </w:p>
    <w:p>
      <w:pPr>
        <w:keepNext/>
        <w:widowControl w:val="0"/>
        <w:numPr>
          <w:ilvl w:val="0"/>
          <w:numId w:val="7"/>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RRC parameters for multi-beam operation  </w:t>
      </w:r>
    </w:p>
    <w:p>
      <w:pPr>
        <w:overflowPunct w:val="0"/>
        <w:autoSpaceDE w:val="0"/>
        <w:autoSpaceDN w:val="0"/>
        <w:adjustRightInd w:val="0"/>
        <w:spacing w:before="120"/>
        <w:textAlignment w:val="baseline"/>
        <w:rPr>
          <w:rFonts w:eastAsia="微软雅黑"/>
          <w:lang w:val="en-GB"/>
        </w:rPr>
      </w:pPr>
      <w:r>
        <w:rPr>
          <w:rFonts w:eastAsia="微软雅黑"/>
          <w:lang w:val="en-GB"/>
        </w:rPr>
        <w:t>In this section, draft RRC parameters for multi-beam operation from Feature-Lead are provided in [3], and our corresponding views are elaborated herein.</w:t>
      </w:r>
    </w:p>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eastAsia="宋体"/>
          <w:b/>
          <w:bCs/>
          <w:kern w:val="2"/>
          <w:sz w:val="24"/>
          <w:szCs w:val="24"/>
        </w:rPr>
        <w:t>Unified TCI framework</w:t>
      </w:r>
    </w:p>
    <w:p>
      <w:pPr>
        <w:numPr>
          <w:ilvl w:val="2"/>
          <w:numId w:val="7"/>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Unified TCI state</w:t>
      </w:r>
    </w:p>
    <w:p>
      <w:pPr>
        <w:overflowPunct w:val="0"/>
        <w:autoSpaceDE w:val="0"/>
        <w:autoSpaceDN w:val="0"/>
        <w:adjustRightInd w:val="0"/>
        <w:spacing w:before="120"/>
        <w:textAlignment w:val="baseline"/>
        <w:rPr>
          <w:rFonts w:eastAsia="微软雅黑"/>
          <w:lang w:val="en-GB"/>
        </w:rPr>
      </w:pPr>
      <w:r>
        <w:rPr>
          <w:rFonts w:eastAsia="微软雅黑"/>
          <w:lang w:val="en-GB"/>
        </w:rPr>
        <w:t xml:space="preserve">In this subsection, we discuss the RRC parameters for configuring the unified TCI state, involving TCI-State_r17, tci-StateId_r17, tci-StateType, QCL-Info_r17. </w:t>
      </w:r>
    </w:p>
    <w:p>
      <w:pPr>
        <w:pStyle w:val="111"/>
        <w:numPr>
          <w:ilvl w:val="0"/>
          <w:numId w:val="25"/>
        </w:numPr>
        <w:overflowPunct w:val="0"/>
        <w:autoSpaceDE w:val="0"/>
        <w:autoSpaceDN w:val="0"/>
        <w:adjustRightInd w:val="0"/>
        <w:spacing w:before="120" w:beforeLines="50" w:after="120" w:line="300" w:lineRule="auto"/>
        <w:ind w:firstLineChars="0"/>
        <w:jc w:val="both"/>
        <w:textAlignment w:val="baseline"/>
      </w:pPr>
      <w:r>
        <w:t xml:space="preserve">First of all, we do NOT identify the necessity of </w:t>
      </w:r>
      <w:r>
        <w:rPr>
          <w:rFonts w:eastAsia="微软雅黑"/>
          <w:lang w:val="en-GB"/>
        </w:rPr>
        <w:t xml:space="preserve">additional QCL Type (DL-only, UL-only and joint) which can be well implied by the QCL state configuration, and some restriction (e.g., SRS resource ID as a source RS only can apply to UL) can be specified in RAN1 spec directly. </w:t>
      </w:r>
    </w:p>
    <w:p>
      <w:pPr>
        <w:pStyle w:val="111"/>
        <w:numPr>
          <w:ilvl w:val="0"/>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Then, we prefer to have a joint state pool for joint, DL and UL TCI state, considering RRC overhead and unified solution for re-numbering TCI state ID for subsequent MAC-CE/DCI command. </w:t>
      </w:r>
    </w:p>
    <w:p>
      <w:pPr>
        <w:pStyle w:val="111"/>
        <w:numPr>
          <w:ilvl w:val="0"/>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Finally, we think that increasing the max# of configured TCI states is required from 128 to 256, considering that compared with Rel-15/16, we need to further configure separate TCI states in the RRC pool.</w:t>
      </w:r>
    </w:p>
    <w:p>
      <w:pPr>
        <w:spacing w:before="120"/>
        <w:rPr>
          <w:i/>
        </w:rPr>
      </w:pPr>
      <w:r>
        <w:rPr>
          <w:b/>
          <w:i/>
        </w:rPr>
        <w:t>Proposal 19</w:t>
      </w:r>
      <w:r>
        <w:rPr>
          <w:rFonts w:hint="eastAsia"/>
          <w:b/>
          <w:i/>
        </w:rPr>
        <w:t xml:space="preserve">: </w:t>
      </w:r>
      <w:r>
        <w:rPr>
          <w:i/>
        </w:rPr>
        <w:t>For RRC configuration for unified TCI state, the following modification is proposed in red</w:t>
      </w:r>
    </w:p>
    <w:tbl>
      <w:tblPr>
        <w:tblStyle w:val="23"/>
        <w:tblW w:w="9351" w:type="dxa"/>
        <w:tblInd w:w="0" w:type="dxa"/>
        <w:shd w:val="clear" w:color="auto" w:fill="FFFFFF" w:themeFill="background1"/>
        <w:tblLayout w:type="autofit"/>
        <w:tblCellMar>
          <w:top w:w="0" w:type="dxa"/>
          <w:left w:w="108" w:type="dxa"/>
          <w:bottom w:w="0" w:type="dxa"/>
          <w:right w:w="108" w:type="dxa"/>
        </w:tblCellMar>
      </w:tblPr>
      <w:tblGrid>
        <w:gridCol w:w="2920"/>
        <w:gridCol w:w="6431"/>
      </w:tblGrid>
      <w:tr>
        <w:tblPrEx>
          <w:shd w:val="clear" w:color="auto" w:fill="FFFFFF" w:themeFill="background1"/>
          <w:tblCellMar>
            <w:top w:w="0" w:type="dxa"/>
            <w:left w:w="108" w:type="dxa"/>
            <w:bottom w:w="0" w:type="dxa"/>
            <w:right w:w="108" w:type="dxa"/>
          </w:tblCellMar>
        </w:tblPrEx>
        <w:trPr>
          <w:trHeight w:val="1443" w:hRule="atLeast"/>
        </w:trPr>
        <w:tc>
          <w:tcPr>
            <w:tcW w:w="292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TCI-State_r17</w:t>
            </w:r>
          </w:p>
        </w:tc>
        <w:tc>
          <w:tcPr>
            <w:tcW w:w="6431"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Release 17 TCI state includes the following fields:</w:t>
            </w:r>
            <w:r>
              <w:rPr>
                <w:rFonts w:ascii="Arial" w:hAnsi="Arial" w:eastAsia="Times New Roman" w:cs="Arial"/>
                <w:sz w:val="18"/>
                <w:szCs w:val="18"/>
              </w:rPr>
              <w:br w:type="textWrapping"/>
            </w:r>
            <w:r>
              <w:rPr>
                <w:rFonts w:ascii="Arial" w:hAnsi="Arial" w:eastAsia="Times New Roman" w:cs="Arial"/>
                <w:b/>
                <w:bCs/>
                <w:sz w:val="18"/>
                <w:szCs w:val="18"/>
              </w:rPr>
              <w:t>tci-StateId_r17</w:t>
            </w:r>
            <w:r>
              <w:rPr>
                <w:rFonts w:ascii="Arial" w:hAnsi="Arial" w:eastAsia="Times New Roman" w:cs="Arial"/>
                <w:sz w:val="18"/>
                <w:szCs w:val="18"/>
              </w:rPr>
              <w:br w:type="textWrapping"/>
            </w:r>
            <w:r>
              <w:rPr>
                <w:rFonts w:ascii="Arial" w:hAnsi="Arial" w:eastAsia="Times New Roman" w:cs="Arial"/>
                <w:b/>
                <w:bCs/>
                <w:strike/>
                <w:color w:val="FF0000"/>
                <w:sz w:val="18"/>
                <w:szCs w:val="18"/>
              </w:rPr>
              <w:t>tci-StateType</w:t>
            </w:r>
            <w:r>
              <w:rPr>
                <w:rFonts w:ascii="Arial" w:hAnsi="Arial" w:eastAsia="Times New Roman" w:cs="Arial"/>
                <w:sz w:val="18"/>
                <w:szCs w:val="18"/>
              </w:rPr>
              <w:br w:type="textWrapping"/>
            </w:r>
            <w:r>
              <w:rPr>
                <w:rFonts w:ascii="Arial" w:hAnsi="Arial" w:eastAsia="Times New Roman" w:cs="Arial"/>
                <w:b/>
                <w:bCs/>
                <w:sz w:val="18"/>
                <w:szCs w:val="18"/>
              </w:rPr>
              <w:t>qcl-Type1</w:t>
            </w:r>
            <w:r>
              <w:rPr>
                <w:rFonts w:ascii="Arial" w:hAnsi="Arial" w:eastAsia="Times New Roman" w:cs="Arial"/>
                <w:sz w:val="18"/>
                <w:szCs w:val="18"/>
              </w:rPr>
              <w:t xml:space="preserve"> of type QCL-Info_r17 </w:t>
            </w:r>
            <w:r>
              <w:rPr>
                <w:rFonts w:ascii="Arial" w:hAnsi="Arial" w:eastAsia="Times New Roman" w:cs="Arial"/>
                <w:color w:val="FF0000"/>
                <w:sz w:val="18"/>
                <w:szCs w:val="18"/>
                <w:lang w:eastAsia="zh-TW"/>
              </w:rPr>
              <w:t>for  QCL Type A, QCL-TypeB or QCL-TypeC for DL</w:t>
            </w:r>
            <w:r>
              <w:rPr>
                <w:rFonts w:ascii="Arial" w:hAnsi="Arial" w:eastAsia="Times New Roman" w:cs="Arial"/>
                <w:sz w:val="18"/>
                <w:szCs w:val="18"/>
              </w:rPr>
              <w:br w:type="textWrapping"/>
            </w:r>
            <w:r>
              <w:rPr>
                <w:rFonts w:ascii="Arial" w:hAnsi="Arial" w:eastAsia="Times New Roman" w:cs="Arial"/>
                <w:b/>
                <w:bCs/>
                <w:sz w:val="18"/>
                <w:szCs w:val="18"/>
              </w:rPr>
              <w:t>qcl-Type2</w:t>
            </w:r>
            <w:r>
              <w:rPr>
                <w:rFonts w:ascii="Arial" w:hAnsi="Arial" w:eastAsia="Times New Roman" w:cs="Arial"/>
                <w:sz w:val="18"/>
                <w:szCs w:val="18"/>
              </w:rPr>
              <w:t xml:space="preserve"> of type QCL-Info_r17 </w:t>
            </w:r>
            <w:r>
              <w:rPr>
                <w:rFonts w:ascii="Arial" w:hAnsi="Arial" w:eastAsia="Times New Roman" w:cs="Arial"/>
                <w:color w:val="FF0000"/>
                <w:sz w:val="18"/>
                <w:szCs w:val="18"/>
                <w:lang w:eastAsia="zh-TW"/>
              </w:rPr>
              <w:t>for  QCL Type D for DL, or UL spatial relation for UL</w:t>
            </w:r>
          </w:p>
        </w:tc>
      </w:tr>
      <w:tr>
        <w:tblPrEx>
          <w:shd w:val="clear" w:color="auto" w:fill="FFFFFF" w:themeFill="background1"/>
          <w:tblCellMar>
            <w:top w:w="0" w:type="dxa"/>
            <w:left w:w="108" w:type="dxa"/>
            <w:bottom w:w="0" w:type="dxa"/>
            <w:right w:w="108" w:type="dxa"/>
          </w:tblCellMar>
        </w:tblPrEx>
        <w:trPr>
          <w:trHeight w:val="40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tci-StateId_r17</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Release 17 TCI state ID</w:t>
            </w:r>
          </w:p>
        </w:tc>
      </w:tr>
      <w:tr>
        <w:tblPrEx>
          <w:shd w:val="clear" w:color="auto" w:fill="FFFFFF" w:themeFill="background1"/>
          <w:tblCellMar>
            <w:top w:w="0" w:type="dxa"/>
            <w:left w:w="108" w:type="dxa"/>
            <w:bottom w:w="0" w:type="dxa"/>
            <w:right w:w="108" w:type="dxa"/>
          </w:tblCellMar>
        </w:tblPrEx>
        <w:trPr>
          <w:trHeight w:val="562"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tci-StateType</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Type of TCI state: DL only, or UL only, or Joint (note: DL only+UL only is only a matter of indication, not type)</w:t>
            </w:r>
          </w:p>
        </w:tc>
      </w:tr>
      <w:tr>
        <w:tblPrEx>
          <w:shd w:val="clear" w:color="auto" w:fill="FFFFFF" w:themeFill="background1"/>
          <w:tblCellMar>
            <w:top w:w="0" w:type="dxa"/>
            <w:left w:w="108" w:type="dxa"/>
            <w:bottom w:w="0" w:type="dxa"/>
            <w:right w:w="108" w:type="dxa"/>
          </w:tblCellMar>
        </w:tblPrEx>
        <w:trPr>
          <w:trHeight w:val="771"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QCL-Info_r17</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Release 17 QCL info for the unified TCI framework. Includes the following fields</w:t>
            </w:r>
            <w:r>
              <w:rPr>
                <w:rFonts w:ascii="Arial" w:hAnsi="Arial" w:eastAsia="Times New Roman" w:cs="Arial"/>
                <w:sz w:val="18"/>
                <w:szCs w:val="18"/>
              </w:rPr>
              <w:br w:type="textWrapping"/>
            </w:r>
            <w:r>
              <w:rPr>
                <w:rFonts w:ascii="Arial" w:hAnsi="Arial" w:eastAsia="Times New Roman" w:cs="Arial"/>
                <w:b/>
                <w:bCs/>
                <w:sz w:val="18"/>
                <w:szCs w:val="18"/>
              </w:rPr>
              <w:t>cell</w:t>
            </w:r>
            <w:r>
              <w:rPr>
                <w:rFonts w:ascii="Arial" w:hAnsi="Arial" w:eastAsia="Times New Roman" w:cs="Arial"/>
                <w:sz w:val="18"/>
                <w:szCs w:val="18"/>
              </w:rPr>
              <w:br w:type="textWrapping"/>
            </w:r>
            <w:r>
              <w:rPr>
                <w:rFonts w:ascii="Arial" w:hAnsi="Arial" w:eastAsia="Times New Roman" w:cs="Arial"/>
                <w:b/>
                <w:bCs/>
                <w:sz w:val="18"/>
                <w:szCs w:val="18"/>
              </w:rPr>
              <w:t>bwp-Id</w:t>
            </w:r>
            <w:r>
              <w:rPr>
                <w:rFonts w:ascii="Arial" w:hAnsi="Arial" w:eastAsia="Times New Roman" w:cs="Arial"/>
                <w:sz w:val="18"/>
                <w:szCs w:val="18"/>
              </w:rPr>
              <w:br w:type="textWrapping"/>
            </w:r>
            <w:r>
              <w:rPr>
                <w:rFonts w:ascii="Arial" w:hAnsi="Arial" w:eastAsia="Times New Roman" w:cs="Arial"/>
                <w:b/>
                <w:bCs/>
                <w:sz w:val="18"/>
                <w:szCs w:val="18"/>
              </w:rPr>
              <w:t>referenceSignal</w:t>
            </w:r>
            <w:r>
              <w:rPr>
                <w:rFonts w:ascii="Arial" w:hAnsi="Arial" w:eastAsia="Times New Roman" w:cs="Arial"/>
                <w:sz w:val="18"/>
                <w:szCs w:val="18"/>
              </w:rPr>
              <w:t xml:space="preserve"> choice of </w:t>
            </w:r>
            <w:r>
              <w:rPr>
                <w:rFonts w:ascii="Arial" w:hAnsi="Arial" w:eastAsia="Times New Roman" w:cs="Arial"/>
                <w:color w:val="FF0000"/>
                <w:sz w:val="18"/>
                <w:szCs w:val="18"/>
              </w:rPr>
              <w:t>{</w:t>
            </w:r>
            <w:r>
              <w:rPr>
                <w:rFonts w:ascii="Arial" w:hAnsi="Arial" w:eastAsia="Times New Roman" w:cs="Arial"/>
                <w:sz w:val="18"/>
                <w:szCs w:val="18"/>
              </w:rPr>
              <w:br w:type="textWrapping"/>
            </w:r>
            <w:r>
              <w:rPr>
                <w:rFonts w:ascii="Arial" w:hAnsi="Arial" w:eastAsia="Times New Roman" w:cs="Arial"/>
                <w:sz w:val="18"/>
                <w:szCs w:val="18"/>
              </w:rPr>
              <w:t xml:space="preserve">  </w:t>
            </w:r>
            <w:r>
              <w:rPr>
                <w:rFonts w:ascii="Arial" w:hAnsi="Arial" w:eastAsia="Times New Roman" w:cs="Arial"/>
                <w:strike/>
                <w:color w:val="FF0000"/>
                <w:sz w:val="18"/>
                <w:szCs w:val="18"/>
              </w:rPr>
              <w:t>for DL or Joint TCI state</w:t>
            </w:r>
            <w:r>
              <w:rPr>
                <w:rFonts w:ascii="Arial" w:hAnsi="Arial" w:eastAsia="Times New Roman" w:cs="Arial"/>
                <w:sz w:val="18"/>
                <w:szCs w:val="18"/>
              </w:rPr>
              <w:br w:type="textWrapping"/>
            </w:r>
            <w:r>
              <w:rPr>
                <w:rFonts w:ascii="Arial" w:hAnsi="Arial" w:eastAsia="Times New Roman" w:cs="Arial"/>
                <w:sz w:val="18"/>
                <w:szCs w:val="18"/>
              </w:rPr>
              <w:t xml:space="preserve">  NZP-CSI-RS-ResourceId</w:t>
            </w:r>
            <w:r>
              <w:rPr>
                <w:rFonts w:ascii="Arial" w:hAnsi="Arial" w:eastAsia="Times New Roman" w:cs="Arial"/>
                <w:strike/>
                <w:color w:val="FF0000"/>
                <w:sz w:val="18"/>
                <w:szCs w:val="18"/>
              </w:rPr>
              <w:t xml:space="preserve"> (CSI-RS for beam management or CSI-RS for tracking) </w:t>
            </w:r>
            <w:r>
              <w:rPr>
                <w:rFonts w:ascii="Arial" w:hAnsi="Arial" w:eastAsia="Times New Roman" w:cs="Arial"/>
                <w:sz w:val="18"/>
                <w:szCs w:val="18"/>
              </w:rPr>
              <w:br w:type="textWrapping"/>
            </w:r>
            <w:r>
              <w:rPr>
                <w:rFonts w:ascii="Arial" w:hAnsi="Arial" w:eastAsia="Times New Roman" w:cs="Arial"/>
                <w:strike/>
                <w:color w:val="FF0000"/>
                <w:sz w:val="18"/>
                <w:szCs w:val="18"/>
              </w:rPr>
              <w:t>for UL TCI</w:t>
            </w:r>
            <w:r>
              <w:rPr>
                <w:rFonts w:ascii="Arial" w:hAnsi="Arial" w:eastAsia="Times New Roman" w:cs="Arial"/>
                <w:strike/>
                <w:color w:val="FF0000"/>
                <w:sz w:val="18"/>
                <w:szCs w:val="18"/>
              </w:rPr>
              <w:br w:type="textWrapping"/>
            </w:r>
            <w:r>
              <w:rPr>
                <w:rFonts w:ascii="Arial" w:hAnsi="Arial" w:eastAsia="Times New Roman" w:cs="Arial"/>
                <w:strike/>
                <w:color w:val="FF0000"/>
                <w:sz w:val="18"/>
                <w:szCs w:val="18"/>
              </w:rPr>
              <w:t xml:space="preserve">  NZP-CSI-RS-ResourceId (CSI-RS for beam management or CSI-RS for tracking)</w:t>
            </w:r>
            <w:r>
              <w:rPr>
                <w:rFonts w:ascii="Arial" w:hAnsi="Arial" w:eastAsia="Times New Roman" w:cs="Arial"/>
                <w:sz w:val="18"/>
                <w:szCs w:val="18"/>
              </w:rPr>
              <w:br w:type="textWrapping"/>
            </w:r>
            <w:r>
              <w:rPr>
                <w:rFonts w:ascii="Arial" w:hAnsi="Arial" w:eastAsia="Times New Roman" w:cs="Arial"/>
                <w:sz w:val="18"/>
                <w:szCs w:val="18"/>
              </w:rPr>
              <w:t xml:space="preserve">  SSB-Index </w:t>
            </w:r>
            <w:r>
              <w:rPr>
                <w:rFonts w:ascii="Arial" w:hAnsi="Arial" w:eastAsia="Times New Roman" w:cs="Arial"/>
                <w:sz w:val="18"/>
                <w:szCs w:val="18"/>
              </w:rPr>
              <w:br w:type="textWrapping"/>
            </w:r>
            <w:r>
              <w:rPr>
                <w:rFonts w:ascii="Arial" w:hAnsi="Arial" w:eastAsia="Times New Roman" w:cs="Arial"/>
                <w:sz w:val="18"/>
                <w:szCs w:val="18"/>
              </w:rPr>
              <w:t xml:space="preserve">  SRS ResourceId </w:t>
            </w:r>
            <w:r>
              <w:rPr>
                <w:rFonts w:ascii="Arial" w:hAnsi="Arial" w:eastAsia="Times New Roman" w:cs="Arial"/>
                <w:strike/>
                <w:color w:val="FF0000"/>
                <w:sz w:val="18"/>
                <w:szCs w:val="18"/>
              </w:rPr>
              <w:t>(SRS for beam management, only applicable for UL TCI)</w:t>
            </w:r>
            <w:r>
              <w:rPr>
                <w:rFonts w:ascii="Arial" w:hAnsi="Arial" w:eastAsia="Times New Roman" w:cs="Arial"/>
                <w:color w:val="FF0000"/>
                <w:sz w:val="18"/>
                <w:szCs w:val="18"/>
                <w:lang w:eastAsia="zh-TW"/>
              </w:rPr>
              <w:t xml:space="preserve">  only for applying to UL RS/channel</w:t>
            </w:r>
          </w:p>
          <w:p>
            <w:pPr>
              <w:spacing w:after="0" w:line="240" w:lineRule="auto"/>
              <w:rPr>
                <w:rFonts w:ascii="Arial" w:hAnsi="Arial" w:eastAsia="Times New Roman" w:cs="Arial"/>
                <w:color w:val="FF0000"/>
                <w:sz w:val="18"/>
                <w:szCs w:val="18"/>
              </w:rPr>
            </w:pPr>
            <w:r>
              <w:rPr>
                <w:rFonts w:ascii="Arial" w:hAnsi="Arial" w:eastAsia="Times New Roman" w:cs="Arial"/>
                <w:color w:val="FF0000"/>
                <w:sz w:val="18"/>
                <w:szCs w:val="18"/>
              </w:rPr>
              <w:t>}</w:t>
            </w:r>
          </w:p>
          <w:p>
            <w:pPr>
              <w:spacing w:after="0" w:line="240" w:lineRule="auto"/>
              <w:rPr>
                <w:rFonts w:ascii="Arial" w:hAnsi="Arial" w:eastAsia="Times New Roman" w:cs="Arial"/>
                <w:color w:val="FF0000"/>
                <w:sz w:val="18"/>
                <w:szCs w:val="18"/>
              </w:rPr>
            </w:pPr>
            <w:r>
              <w:rPr>
                <w:rFonts w:ascii="Arial" w:hAnsi="Arial" w:eastAsia="Times New Roman" w:cs="Arial"/>
                <w:b/>
                <w:bCs/>
                <w:sz w:val="18"/>
                <w:szCs w:val="18"/>
              </w:rPr>
              <w:t>qcl-Type</w:t>
            </w:r>
            <w:r>
              <w:rPr>
                <w:rFonts w:ascii="Arial" w:hAnsi="Arial" w:eastAsia="Times New Roman" w:cs="Arial"/>
                <w:sz w:val="18"/>
                <w:szCs w:val="18"/>
              </w:rPr>
              <w:t xml:space="preserve"> ENUMERATED {typeA, </w:t>
            </w:r>
            <w:r>
              <w:rPr>
                <w:rFonts w:ascii="Arial" w:hAnsi="Arial" w:eastAsia="Times New Roman" w:cs="Arial"/>
                <w:strike/>
                <w:color w:val="FF0000"/>
                <w:sz w:val="18"/>
                <w:szCs w:val="18"/>
              </w:rPr>
              <w:t>[</w:t>
            </w:r>
            <w:r>
              <w:rPr>
                <w:rFonts w:ascii="Arial" w:hAnsi="Arial" w:eastAsia="Times New Roman" w:cs="Arial"/>
                <w:sz w:val="18"/>
                <w:szCs w:val="18"/>
              </w:rPr>
              <w:t>typeB</w:t>
            </w:r>
            <w:r>
              <w:rPr>
                <w:rFonts w:ascii="Arial" w:hAnsi="Arial" w:eastAsia="Times New Roman" w:cs="Arial"/>
                <w:strike/>
                <w:color w:val="FF0000"/>
                <w:sz w:val="18"/>
                <w:szCs w:val="18"/>
              </w:rPr>
              <w:t>]</w:t>
            </w:r>
            <w:r>
              <w:rPr>
                <w:rFonts w:ascii="Arial" w:hAnsi="Arial" w:eastAsia="Times New Roman" w:cs="Arial"/>
                <w:sz w:val="18"/>
                <w:szCs w:val="18"/>
              </w:rPr>
              <w:t xml:space="preserve">, </w:t>
            </w:r>
            <w:r>
              <w:rPr>
                <w:rFonts w:ascii="Arial" w:hAnsi="Arial" w:eastAsia="Times New Roman" w:cs="Arial"/>
                <w:color w:val="FF0000"/>
                <w:sz w:val="18"/>
                <w:szCs w:val="18"/>
              </w:rPr>
              <w:t>typeC</w:t>
            </w:r>
            <w:r>
              <w:rPr>
                <w:rFonts w:ascii="Arial" w:hAnsi="Arial" w:eastAsia="Times New Roman" w:cs="Arial"/>
                <w:sz w:val="18"/>
                <w:szCs w:val="18"/>
              </w:rPr>
              <w:t xml:space="preserve">, typeD, </w:t>
            </w:r>
            <w:r>
              <w:rPr>
                <w:rFonts w:ascii="Arial" w:hAnsi="Arial" w:eastAsia="Times New Roman" w:cs="Arial"/>
                <w:color w:val="FF0000"/>
                <w:sz w:val="18"/>
                <w:szCs w:val="18"/>
                <w:lang w:eastAsia="zh-TW"/>
              </w:rPr>
              <w:t>UL spatial relation</w:t>
            </w:r>
            <w:r>
              <w:rPr>
                <w:rFonts w:ascii="Arial" w:hAnsi="Arial" w:eastAsia="Times New Roman" w:cs="Arial"/>
                <w:sz w:val="18"/>
                <w:szCs w:val="18"/>
              </w:rPr>
              <w:t>}</w:t>
            </w:r>
            <w:r>
              <w:rPr>
                <w:rFonts w:ascii="Arial" w:hAnsi="Arial" w:eastAsia="Times New Roman" w:cs="Arial"/>
                <w:sz w:val="18"/>
                <w:szCs w:val="18"/>
              </w:rPr>
              <w:br w:type="textWrapping"/>
            </w:r>
            <w:r>
              <w:rPr>
                <w:rFonts w:ascii="Arial" w:hAnsi="Arial" w:eastAsia="Times New Roman" w:cs="Arial"/>
                <w:sz w:val="18"/>
                <w:szCs w:val="18"/>
              </w:rPr>
              <w:t>[</w:t>
            </w:r>
            <w:r>
              <w:rPr>
                <w:rFonts w:ascii="Arial" w:hAnsi="Arial" w:eastAsia="Times New Roman" w:cs="Arial"/>
                <w:b/>
                <w:bCs/>
                <w:sz w:val="18"/>
                <w:szCs w:val="18"/>
              </w:rPr>
              <w:t>pathloss RS</w:t>
            </w:r>
            <w:r>
              <w:rPr>
                <w:rFonts w:ascii="Arial" w:hAnsi="Arial" w:eastAsia="Times New Roman" w:cs="Arial"/>
                <w:sz w:val="18"/>
                <w:szCs w:val="18"/>
              </w:rPr>
              <w:t xml:space="preserve"> - if included in TCI state </w:t>
            </w:r>
            <w:r>
              <w:rPr>
                <w:rFonts w:ascii="Arial" w:hAnsi="Arial" w:eastAsia="Times New Roman" w:cs="Arial"/>
                <w:strike/>
                <w:color w:val="FF0000"/>
                <w:sz w:val="18"/>
                <w:szCs w:val="18"/>
              </w:rPr>
              <w:t>- for UL TCI state or Joint TCI state</w:t>
            </w:r>
            <w:r>
              <w:rPr>
                <w:rFonts w:ascii="Arial" w:hAnsi="Arial" w:eastAsia="Times New Roman" w:cs="Arial"/>
                <w:color w:val="FF0000"/>
                <w:sz w:val="18"/>
                <w:szCs w:val="18"/>
              </w:rPr>
              <w:t xml:space="preserve"> </w:t>
            </w:r>
          </w:p>
          <w:p>
            <w:pPr>
              <w:spacing w:after="0" w:line="240" w:lineRule="auto"/>
              <w:rPr>
                <w:rFonts w:ascii="Arial" w:hAnsi="Arial" w:eastAsia="Times New Roman" w:cs="Arial"/>
                <w:sz w:val="18"/>
                <w:szCs w:val="18"/>
              </w:rPr>
            </w:pPr>
            <w:r>
              <w:rPr>
                <w:rFonts w:ascii="Arial" w:hAnsi="Arial" w:eastAsia="Times New Roman" w:cs="Arial"/>
                <w:sz w:val="18"/>
                <w:szCs w:val="18"/>
              </w:rPr>
              <w:t>choice of</w:t>
            </w:r>
            <w:r>
              <w:rPr>
                <w:rFonts w:ascii="Arial" w:hAnsi="Arial" w:eastAsia="Times New Roman" w:cs="Arial"/>
                <w:sz w:val="18"/>
                <w:szCs w:val="18"/>
              </w:rPr>
              <w:br w:type="textWrapping"/>
            </w:r>
            <w:r>
              <w:rPr>
                <w:rFonts w:ascii="Arial" w:hAnsi="Arial" w:eastAsia="Times New Roman" w:cs="Arial"/>
                <w:sz w:val="18"/>
                <w:szCs w:val="18"/>
              </w:rPr>
              <w:t>SSB-Index</w:t>
            </w:r>
            <w:r>
              <w:rPr>
                <w:rFonts w:ascii="Arial" w:hAnsi="Arial" w:eastAsia="Times New Roman" w:cs="Arial"/>
                <w:sz w:val="18"/>
                <w:szCs w:val="18"/>
              </w:rPr>
              <w:br w:type="textWrapping"/>
            </w:r>
            <w:r>
              <w:rPr>
                <w:rFonts w:ascii="Arial" w:hAnsi="Arial" w:eastAsia="Times New Roman" w:cs="Arial"/>
                <w:sz w:val="18"/>
                <w:szCs w:val="18"/>
              </w:rPr>
              <w:t>NZP-CSI-RS (periodic CSI-RS)]</w:t>
            </w:r>
          </w:p>
        </w:tc>
      </w:tr>
      <w:tr>
        <w:tblPrEx>
          <w:shd w:val="clear" w:color="auto" w:fill="FFFFFF" w:themeFill="background1"/>
          <w:tblCellMar>
            <w:top w:w="0" w:type="dxa"/>
            <w:left w:w="108" w:type="dxa"/>
            <w:bottom w:w="0" w:type="dxa"/>
            <w:right w:w="108" w:type="dxa"/>
          </w:tblCellMar>
        </w:tblPrEx>
        <w:trPr>
          <w:trHeight w:val="61" w:hRule="atLeast"/>
        </w:trPr>
        <w:tc>
          <w:tcPr>
            <w:tcW w:w="292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maxNrofTCI-States_r17</w:t>
            </w:r>
          </w:p>
        </w:tc>
        <w:tc>
          <w:tcPr>
            <w:tcW w:w="6431"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 xml:space="preserve">Maximum number of TCI states – </w:t>
            </w:r>
            <w:r>
              <w:rPr>
                <w:rFonts w:ascii="Arial" w:hAnsi="Arial" w:eastAsia="Times New Roman" w:cs="Arial"/>
                <w:color w:val="FF0000"/>
                <w:sz w:val="18"/>
                <w:szCs w:val="18"/>
              </w:rPr>
              <w:t>value range: 256.</w:t>
            </w:r>
          </w:p>
        </w:tc>
      </w:tr>
    </w:tbl>
    <w:p>
      <w:pPr>
        <w:numPr>
          <w:ilvl w:val="2"/>
          <w:numId w:val="7"/>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UL power control</w:t>
      </w:r>
    </w:p>
    <w:p>
      <w:pPr>
        <w:overflowPunct w:val="0"/>
        <w:autoSpaceDE w:val="0"/>
        <w:autoSpaceDN w:val="0"/>
        <w:adjustRightInd w:val="0"/>
        <w:spacing w:before="120"/>
        <w:textAlignment w:val="baseline"/>
        <w:rPr>
          <w:rFonts w:eastAsia="微软雅黑"/>
          <w:lang w:val="en-GB"/>
        </w:rPr>
      </w:pPr>
      <w:r>
        <w:rPr>
          <w:rFonts w:eastAsia="微软雅黑"/>
          <w:lang w:val="en-GB"/>
        </w:rPr>
        <w:t xml:space="preserve">In this subsection, we discuss the RRC parameters for UL power control related parameters, involving </w:t>
      </w:r>
      <w:r>
        <w:rPr>
          <w:rFonts w:eastAsia="等线"/>
        </w:rPr>
        <w:t>p0_Alpha_CLIdPUSCHSet, p0_Alpha_CLIdPUCCHSet, p0_Alpha_CLIdSRSSet, p0_Alpha_CLIdSetId</w:t>
      </w:r>
      <w:r>
        <w:rPr>
          <w:rFonts w:eastAsia="微软雅黑"/>
          <w:lang w:val="en-GB"/>
        </w:rPr>
        <w:t xml:space="preserve">. In our views, the design of RRC signalling is up to RRC or MAC-CE based association. </w:t>
      </w:r>
    </w:p>
    <w:p>
      <w:pPr>
        <w:pStyle w:val="111"/>
        <w:numPr>
          <w:ilvl w:val="0"/>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If going with MAC-CE based association, the separate UL power control parameter sets for PUSCH, PUCCH and SRS is a good way-forward solution. </w:t>
      </w:r>
    </w:p>
    <w:p>
      <w:pPr>
        <w:pStyle w:val="111"/>
        <w:numPr>
          <w:ilvl w:val="0"/>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Otherwise, if RRC based association is agreed, we prefer to to introduce a function of mapping above PC parameters and unified TCI state ID. That is similar to already RRC parameter ‘SRI-PUSCH-PowerControl’.</w:t>
      </w:r>
    </w:p>
    <w:p>
      <w:pPr>
        <w:pStyle w:val="111"/>
        <w:numPr>
          <w:ilvl w:val="1"/>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Notes that, considering that we only have a PL-RS for all types of channel/RS, we can choose one ID from either one of PUSCH/PUCCH/SRS-PL-RS pool or explicitly provide the corresponding PL-RS ID. In the following example, we use the latter one.</w:t>
      </w:r>
    </w:p>
    <w:p>
      <w:pPr>
        <w:spacing w:before="120"/>
        <w:rPr>
          <w:i/>
        </w:rPr>
      </w:pPr>
      <w:r>
        <w:rPr>
          <w:b/>
          <w:i/>
        </w:rPr>
        <w:t>Proposal 20</w:t>
      </w:r>
      <w:r>
        <w:rPr>
          <w:rFonts w:hint="eastAsia"/>
          <w:b/>
          <w:i/>
        </w:rPr>
        <w:t xml:space="preserve">: </w:t>
      </w:r>
      <w:r>
        <w:rPr>
          <w:i/>
        </w:rPr>
        <w:t xml:space="preserve">For RRC configuration for UL power control, </w:t>
      </w:r>
    </w:p>
    <w:p>
      <w:pPr>
        <w:pStyle w:val="111"/>
        <w:numPr>
          <w:ilvl w:val="0"/>
          <w:numId w:val="25"/>
        </w:numPr>
        <w:spacing w:before="120" w:beforeLines="50" w:after="120" w:line="300" w:lineRule="auto"/>
        <w:ind w:firstLineChars="0"/>
        <w:jc w:val="both"/>
        <w:rPr>
          <w:i/>
        </w:rPr>
      </w:pPr>
      <w:r>
        <w:rPr>
          <w:i/>
        </w:rPr>
        <w:t>Option-1: MAC-CE based association for UL power control parameter(s) is supported, and the following modification for RRC parameter is proposed in red</w:t>
      </w:r>
    </w:p>
    <w:tbl>
      <w:tblPr>
        <w:tblStyle w:val="23"/>
        <w:tblW w:w="8789" w:type="dxa"/>
        <w:tblInd w:w="704" w:type="dxa"/>
        <w:tblLayout w:type="autofit"/>
        <w:tblCellMar>
          <w:top w:w="0" w:type="dxa"/>
          <w:left w:w="108" w:type="dxa"/>
          <w:bottom w:w="0" w:type="dxa"/>
          <w:right w:w="108" w:type="dxa"/>
        </w:tblCellMar>
      </w:tblPr>
      <w:tblGrid>
        <w:gridCol w:w="2368"/>
        <w:gridCol w:w="6421"/>
      </w:tblGrid>
      <w:tr>
        <w:tblPrEx>
          <w:tblCellMar>
            <w:top w:w="0" w:type="dxa"/>
            <w:left w:w="108" w:type="dxa"/>
            <w:bottom w:w="0" w:type="dxa"/>
            <w:right w:w="108" w:type="dxa"/>
          </w:tblCellMar>
        </w:tblPrEx>
        <w:trPr>
          <w:trHeight w:val="1074" w:hRule="atLeast"/>
        </w:trPr>
        <w:tc>
          <w:tcPr>
            <w:tcW w:w="236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p0_Alpha_CLIdPUSCHSet</w:t>
            </w:r>
          </w:p>
        </w:tc>
        <w:tc>
          <w:tcPr>
            <w:tcW w:w="6421"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Set of P0, alpha and closed loop index which includes</w:t>
            </w:r>
            <w:r>
              <w:rPr>
                <w:rFonts w:ascii="Arial" w:hAnsi="Arial" w:eastAsia="Times New Roman" w:cs="Arial"/>
                <w:sz w:val="18"/>
                <w:szCs w:val="18"/>
              </w:rPr>
              <w:br w:type="textWrapping"/>
            </w:r>
            <w:r>
              <w:rPr>
                <w:rFonts w:ascii="Arial" w:hAnsi="Arial" w:eastAsia="Times New Roman" w:cs="Arial"/>
                <w:sz w:val="18"/>
                <w:szCs w:val="18"/>
              </w:rPr>
              <w:t>p0_Alpha_CLIdPUSCHSetId</w:t>
            </w:r>
            <w:r>
              <w:rPr>
                <w:rFonts w:ascii="Arial" w:hAnsi="Arial" w:eastAsia="Times New Roman" w:cs="Arial"/>
                <w:sz w:val="18"/>
                <w:szCs w:val="18"/>
              </w:rPr>
              <w:br w:type="textWrapping"/>
            </w:r>
            <w:r>
              <w:rPr>
                <w:rFonts w:ascii="Arial" w:hAnsi="Arial" w:eastAsia="Times New Roman" w:cs="Arial"/>
                <w:sz w:val="18"/>
                <w:szCs w:val="18"/>
              </w:rPr>
              <w:t>p0 INTEGER in range (-16 … 15)</w:t>
            </w:r>
            <w:r>
              <w:rPr>
                <w:rFonts w:ascii="Arial" w:hAnsi="Arial" w:eastAsia="Times New Roman" w:cs="Arial"/>
                <w:sz w:val="18"/>
                <w:szCs w:val="18"/>
              </w:rPr>
              <w:br w:type="textWrapping"/>
            </w:r>
            <w:r>
              <w:rPr>
                <w:rFonts w:ascii="Arial" w:hAnsi="Arial" w:eastAsia="Times New Roman" w:cs="Arial"/>
                <w:sz w:val="18"/>
                <w:szCs w:val="18"/>
              </w:rPr>
              <w:t>alpha of type Alpha</w:t>
            </w:r>
            <w:r>
              <w:rPr>
                <w:rFonts w:ascii="Arial" w:hAnsi="Arial" w:eastAsia="Times New Roman" w:cs="Arial"/>
                <w:sz w:val="18"/>
                <w:szCs w:val="18"/>
              </w:rPr>
              <w:br w:type="textWrapping"/>
            </w:r>
            <w:r>
              <w:rPr>
                <w:rFonts w:ascii="Arial" w:hAnsi="Arial" w:eastAsia="Times New Roman" w:cs="Arial"/>
                <w:sz w:val="18"/>
                <w:szCs w:val="18"/>
              </w:rPr>
              <w:t>CLId ENUMERATE (0,1)</w:t>
            </w:r>
          </w:p>
        </w:tc>
      </w:tr>
      <w:tr>
        <w:tblPrEx>
          <w:tblCellMar>
            <w:top w:w="0" w:type="dxa"/>
            <w:left w:w="108" w:type="dxa"/>
            <w:bottom w:w="0" w:type="dxa"/>
            <w:right w:w="108" w:type="dxa"/>
          </w:tblCellMar>
        </w:tblPrEx>
        <w:trPr>
          <w:trHeight w:val="1176" w:hRule="atLeast"/>
        </w:trPr>
        <w:tc>
          <w:tcPr>
            <w:tcW w:w="2368"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p0</w:t>
            </w:r>
            <w:r>
              <w:rPr>
                <w:rFonts w:ascii="Arial" w:hAnsi="Arial" w:eastAsia="Times New Roman" w:cs="Arial"/>
                <w:strike/>
                <w:color w:val="FF0000"/>
                <w:sz w:val="18"/>
                <w:szCs w:val="18"/>
              </w:rPr>
              <w:t>_Alpha</w:t>
            </w:r>
            <w:r>
              <w:rPr>
                <w:rFonts w:ascii="Arial" w:hAnsi="Arial" w:eastAsia="Times New Roman" w:cs="Arial"/>
                <w:sz w:val="18"/>
                <w:szCs w:val="18"/>
              </w:rPr>
              <w:t>_CLIdPUCCHSet</w:t>
            </w:r>
          </w:p>
        </w:tc>
        <w:tc>
          <w:tcPr>
            <w:tcW w:w="6421"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Set of P0, alpha and closed loop index which includes</w:t>
            </w:r>
            <w:r>
              <w:rPr>
                <w:rFonts w:ascii="Arial" w:hAnsi="Arial" w:eastAsia="Times New Roman" w:cs="Arial"/>
                <w:sz w:val="18"/>
                <w:szCs w:val="18"/>
              </w:rPr>
              <w:br w:type="textWrapping"/>
            </w:r>
            <w:r>
              <w:rPr>
                <w:rFonts w:ascii="Arial" w:hAnsi="Arial" w:eastAsia="Times New Roman" w:cs="Arial"/>
                <w:sz w:val="18"/>
                <w:szCs w:val="18"/>
              </w:rPr>
              <w:t>p0_Alpha_CLIdPUCCHSetId</w:t>
            </w:r>
            <w:r>
              <w:rPr>
                <w:rFonts w:ascii="Arial" w:hAnsi="Arial" w:eastAsia="Times New Roman" w:cs="Arial"/>
                <w:sz w:val="18"/>
                <w:szCs w:val="18"/>
              </w:rPr>
              <w:br w:type="textWrapping"/>
            </w:r>
            <w:r>
              <w:rPr>
                <w:rFonts w:ascii="Arial" w:hAnsi="Arial" w:eastAsia="Times New Roman" w:cs="Arial"/>
                <w:sz w:val="18"/>
                <w:szCs w:val="18"/>
              </w:rPr>
              <w:t>p0 INTEGER in range (-16 … 15)</w:t>
            </w:r>
            <w:r>
              <w:rPr>
                <w:rFonts w:ascii="Arial" w:hAnsi="Arial" w:eastAsia="Times New Roman" w:cs="Arial"/>
                <w:sz w:val="18"/>
                <w:szCs w:val="18"/>
              </w:rPr>
              <w:br w:type="textWrapping"/>
            </w:r>
            <w:r>
              <w:rPr>
                <w:rFonts w:ascii="Arial" w:hAnsi="Arial" w:eastAsia="Times New Roman" w:cs="Arial"/>
                <w:strike/>
                <w:color w:val="FF0000"/>
                <w:sz w:val="18"/>
                <w:szCs w:val="18"/>
              </w:rPr>
              <w:t>[alpha of type Alpha]</w:t>
            </w:r>
            <w:r>
              <w:rPr>
                <w:rFonts w:ascii="Arial" w:hAnsi="Arial" w:eastAsia="Times New Roman" w:cs="Arial"/>
                <w:sz w:val="18"/>
                <w:szCs w:val="18"/>
              </w:rPr>
              <w:br w:type="textWrapping"/>
            </w:r>
            <w:r>
              <w:rPr>
                <w:rFonts w:ascii="Arial" w:hAnsi="Arial" w:eastAsia="Times New Roman" w:cs="Arial"/>
                <w:sz w:val="18"/>
                <w:szCs w:val="18"/>
              </w:rPr>
              <w:t>CLId ENUMERATE (0,1)</w:t>
            </w:r>
          </w:p>
        </w:tc>
      </w:tr>
      <w:tr>
        <w:tblPrEx>
          <w:tblCellMar>
            <w:top w:w="0" w:type="dxa"/>
            <w:left w:w="108" w:type="dxa"/>
            <w:bottom w:w="0" w:type="dxa"/>
            <w:right w:w="108" w:type="dxa"/>
          </w:tblCellMar>
        </w:tblPrEx>
        <w:trPr>
          <w:trHeight w:val="956" w:hRule="atLeast"/>
        </w:trPr>
        <w:tc>
          <w:tcPr>
            <w:tcW w:w="2368"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p0_Alpha_CLIdSRSSet</w:t>
            </w:r>
          </w:p>
        </w:tc>
        <w:tc>
          <w:tcPr>
            <w:tcW w:w="6421"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Set of P0, alpha and closed loop index which includes</w:t>
            </w:r>
            <w:r>
              <w:rPr>
                <w:rFonts w:ascii="Arial" w:hAnsi="Arial" w:eastAsia="Times New Roman" w:cs="Arial"/>
                <w:sz w:val="18"/>
                <w:szCs w:val="18"/>
              </w:rPr>
              <w:br w:type="textWrapping"/>
            </w:r>
            <w:r>
              <w:rPr>
                <w:rFonts w:ascii="Arial" w:hAnsi="Arial" w:eastAsia="Times New Roman" w:cs="Arial"/>
                <w:sz w:val="18"/>
                <w:szCs w:val="18"/>
              </w:rPr>
              <w:t>p0_Alpha_CLIdSRSSetId</w:t>
            </w:r>
            <w:r>
              <w:rPr>
                <w:rFonts w:ascii="Arial" w:hAnsi="Arial" w:eastAsia="Times New Roman" w:cs="Arial"/>
                <w:sz w:val="18"/>
                <w:szCs w:val="18"/>
              </w:rPr>
              <w:br w:type="textWrapping"/>
            </w:r>
            <w:r>
              <w:rPr>
                <w:rFonts w:ascii="Arial" w:hAnsi="Arial" w:eastAsia="Times New Roman" w:cs="Arial"/>
                <w:sz w:val="18"/>
                <w:szCs w:val="18"/>
              </w:rPr>
              <w:t>p0 INTEGER in range (-16 … 15)</w:t>
            </w:r>
            <w:r>
              <w:rPr>
                <w:rFonts w:ascii="Arial" w:hAnsi="Arial" w:eastAsia="Times New Roman" w:cs="Arial"/>
                <w:sz w:val="18"/>
                <w:szCs w:val="18"/>
              </w:rPr>
              <w:br w:type="textWrapping"/>
            </w:r>
            <w:r>
              <w:rPr>
                <w:rFonts w:ascii="Arial" w:hAnsi="Arial" w:eastAsia="Times New Roman" w:cs="Arial"/>
                <w:sz w:val="18"/>
                <w:szCs w:val="18"/>
              </w:rPr>
              <w:t>alpha of type Alpha</w:t>
            </w:r>
            <w:r>
              <w:rPr>
                <w:rFonts w:ascii="Arial" w:hAnsi="Arial" w:eastAsia="Times New Roman" w:cs="Arial"/>
                <w:sz w:val="18"/>
                <w:szCs w:val="18"/>
              </w:rPr>
              <w:br w:type="textWrapping"/>
            </w:r>
            <w:r>
              <w:rPr>
                <w:rFonts w:ascii="Arial" w:hAnsi="Arial" w:eastAsia="Times New Roman" w:cs="Arial"/>
                <w:sz w:val="18"/>
                <w:szCs w:val="18"/>
              </w:rPr>
              <w:t>CLId ENUMERATE (0,1)</w:t>
            </w:r>
          </w:p>
        </w:tc>
      </w:tr>
      <w:tr>
        <w:tblPrEx>
          <w:tblCellMar>
            <w:top w:w="0" w:type="dxa"/>
            <w:left w:w="108" w:type="dxa"/>
            <w:bottom w:w="0" w:type="dxa"/>
            <w:right w:w="108" w:type="dxa"/>
          </w:tblCellMar>
        </w:tblPrEx>
        <w:trPr>
          <w:trHeight w:val="602" w:hRule="atLeast"/>
        </w:trPr>
        <w:tc>
          <w:tcPr>
            <w:tcW w:w="2368"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p0_Alpha_CLIdSetId</w:t>
            </w:r>
          </w:p>
        </w:tc>
        <w:tc>
          <w:tcPr>
            <w:tcW w:w="6421"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p0_Alpha_CLIdSet ID</w:t>
            </w:r>
          </w:p>
        </w:tc>
      </w:tr>
    </w:tbl>
    <w:p>
      <w:pPr>
        <w:pStyle w:val="111"/>
        <w:numPr>
          <w:ilvl w:val="0"/>
          <w:numId w:val="25"/>
        </w:numPr>
        <w:spacing w:before="120" w:beforeLines="50" w:after="120" w:line="300" w:lineRule="auto"/>
        <w:ind w:firstLineChars="0"/>
        <w:jc w:val="both"/>
        <w:rPr>
          <w:i/>
        </w:rPr>
      </w:pPr>
      <w:r>
        <w:rPr>
          <w:i/>
        </w:rPr>
        <w:t>Option-2: RRC based association for UL power control parameter(s) is supported, and the following new RRC parameter is proposed.</w:t>
      </w:r>
    </w:p>
    <w:tbl>
      <w:tblPr>
        <w:tblStyle w:val="23"/>
        <w:tblW w:w="8789" w:type="dxa"/>
        <w:tblInd w:w="704" w:type="dxa"/>
        <w:tblLayout w:type="autofit"/>
        <w:tblCellMar>
          <w:top w:w="0" w:type="dxa"/>
          <w:left w:w="108" w:type="dxa"/>
          <w:bottom w:w="0" w:type="dxa"/>
          <w:right w:w="108" w:type="dxa"/>
        </w:tblCellMar>
      </w:tblPr>
      <w:tblGrid>
        <w:gridCol w:w="2368"/>
        <w:gridCol w:w="6421"/>
      </w:tblGrid>
      <w:tr>
        <w:tblPrEx>
          <w:tblCellMar>
            <w:top w:w="0" w:type="dxa"/>
            <w:left w:w="108" w:type="dxa"/>
            <w:bottom w:w="0" w:type="dxa"/>
            <w:right w:w="108" w:type="dxa"/>
          </w:tblCellMar>
        </w:tblPrEx>
        <w:trPr>
          <w:trHeight w:val="1074" w:hRule="atLeast"/>
        </w:trPr>
        <w:tc>
          <w:tcPr>
            <w:tcW w:w="236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lang w:eastAsia="zh-TW"/>
              </w:rPr>
              <w:t>TCI-State-PUSCH-PUCCH-SRS-PowerControl</w:t>
            </w:r>
          </w:p>
        </w:tc>
        <w:tc>
          <w:tcPr>
            <w:tcW w:w="6421"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b/>
                <w:bCs/>
                <w:sz w:val="18"/>
                <w:szCs w:val="18"/>
                <w:lang w:eastAsia="zh-TW"/>
              </w:rPr>
            </w:pPr>
            <w:r>
              <w:rPr>
                <w:rFonts w:ascii="Arial" w:hAnsi="Arial" w:eastAsia="Times New Roman" w:cs="Arial"/>
                <w:sz w:val="18"/>
                <w:szCs w:val="18"/>
                <w:lang w:eastAsia="zh-TW"/>
              </w:rPr>
              <w:t>TCI-State-PUSCH-PUCCH-SRS-PowerControl includes the following fields:</w:t>
            </w:r>
            <w:r>
              <w:rPr>
                <w:rFonts w:ascii="Arial" w:hAnsi="Arial" w:eastAsia="Times New Roman" w:cs="Arial"/>
                <w:sz w:val="18"/>
                <w:szCs w:val="18"/>
                <w:lang w:eastAsia="zh-TW"/>
              </w:rPr>
              <w:br w:type="textWrapping"/>
            </w:r>
            <w:r>
              <w:rPr>
                <w:rFonts w:ascii="Arial" w:hAnsi="Arial" w:eastAsia="Times New Roman" w:cs="Arial"/>
                <w:b/>
                <w:bCs/>
                <w:sz w:val="18"/>
                <w:szCs w:val="18"/>
                <w:lang w:eastAsia="zh-TW"/>
              </w:rPr>
              <w:t>tci-StateId_r17</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P0-PUSCH-AlphaSetId</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 xml:space="preserve">PUSCH-ClosedLoopIndex           </w:t>
            </w:r>
            <w:r>
              <w:rPr>
                <w:rFonts w:ascii="Arial" w:hAnsi="Arial" w:eastAsia="Times New Roman" w:cs="Arial"/>
                <w:sz w:val="18"/>
                <w:szCs w:val="18"/>
                <w:lang w:eastAsia="zh-TW"/>
              </w:rPr>
              <w:t>ENUMERATED { i0, i1 }</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P0-PUCCH-Id</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 xml:space="preserve">PUCCH-ClosedLoopIndex           </w:t>
            </w:r>
            <w:r>
              <w:rPr>
                <w:rFonts w:ascii="Arial" w:hAnsi="Arial" w:eastAsia="Times New Roman" w:cs="Arial"/>
                <w:sz w:val="18"/>
                <w:szCs w:val="18"/>
                <w:lang w:eastAsia="zh-TW"/>
              </w:rPr>
              <w:t>ENUMERATED { i0, i1 }</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Alpha-SRS</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P0-SRS</w:t>
            </w:r>
          </w:p>
          <w:p>
            <w:pPr>
              <w:spacing w:after="0" w:line="240" w:lineRule="auto"/>
              <w:rPr>
                <w:rFonts w:ascii="Arial" w:hAnsi="Arial" w:eastAsia="Times New Roman" w:cs="Arial"/>
                <w:sz w:val="18"/>
                <w:szCs w:val="18"/>
                <w:lang w:eastAsia="zh-TW"/>
              </w:rPr>
            </w:pPr>
            <w:r>
              <w:rPr>
                <w:rFonts w:ascii="Arial" w:hAnsi="Arial" w:eastAsia="Times New Roman" w:cs="Arial"/>
                <w:b/>
                <w:bCs/>
                <w:sz w:val="18"/>
                <w:szCs w:val="18"/>
                <w:lang w:eastAsia="zh-TW"/>
              </w:rPr>
              <w:t xml:space="preserve">srs-PowerControlAdjustmentStates        </w:t>
            </w:r>
            <w:r>
              <w:rPr>
                <w:rFonts w:ascii="Arial" w:hAnsi="Arial" w:eastAsia="Times New Roman" w:cs="Arial"/>
                <w:sz w:val="18"/>
                <w:szCs w:val="18"/>
                <w:lang w:eastAsia="zh-TW"/>
              </w:rPr>
              <w:t>ENUMERATED { sameAsFci2, separateClosedLoop}</w:t>
            </w:r>
          </w:p>
          <w:p>
            <w:pPr>
              <w:spacing w:after="0" w:line="240" w:lineRule="auto"/>
              <w:rPr>
                <w:rFonts w:ascii="Arial" w:hAnsi="Arial" w:eastAsia="Times New Roman" w:cs="Arial"/>
                <w:sz w:val="18"/>
                <w:szCs w:val="18"/>
                <w:lang w:eastAsia="zh-TW"/>
              </w:rPr>
            </w:pPr>
            <w:r>
              <w:rPr>
                <w:rFonts w:ascii="Arial" w:hAnsi="Arial" w:eastAsia="Times New Roman" w:cs="Arial"/>
                <w:b/>
                <w:bCs/>
                <w:sz w:val="18"/>
                <w:szCs w:val="18"/>
                <w:lang w:eastAsia="zh-TW"/>
              </w:rPr>
              <w:t>pathloss RS</w:t>
            </w:r>
            <w:r>
              <w:rPr>
                <w:bCs/>
                <w:sz w:val="18"/>
              </w:rPr>
              <w:t xml:space="preserve">     </w:t>
            </w:r>
            <w:r>
              <w:rPr>
                <w:rFonts w:ascii="Arial" w:hAnsi="Arial" w:eastAsia="Times New Roman" w:cs="Arial"/>
                <w:sz w:val="18"/>
                <w:szCs w:val="18"/>
                <w:lang w:eastAsia="zh-TW"/>
              </w:rPr>
              <w:t>- choice of {SSB-Index, NZP-CSI-RS (periodic CSI-RS)}</w:t>
            </w:r>
          </w:p>
          <w:p>
            <w:pPr>
              <w:spacing w:after="0" w:line="240" w:lineRule="auto"/>
              <w:rPr>
                <w:rFonts w:ascii="Arial" w:hAnsi="Arial" w:eastAsia="Times New Roman" w:cs="Arial"/>
                <w:sz w:val="18"/>
                <w:szCs w:val="18"/>
              </w:rPr>
            </w:pPr>
          </w:p>
        </w:tc>
      </w:tr>
    </w:tbl>
    <w:p>
      <w:pPr>
        <w:numPr>
          <w:ilvl w:val="2"/>
          <w:numId w:val="7"/>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Applicable scope of an indicated TCI state</w:t>
      </w:r>
    </w:p>
    <w:p>
      <w:pPr>
        <w:pStyle w:val="85"/>
        <w:numPr>
          <w:ilvl w:val="255"/>
          <w:numId w:val="0"/>
        </w:numPr>
        <w:overflowPunct w:val="0"/>
        <w:autoSpaceDE w:val="0"/>
        <w:autoSpaceDN w:val="0"/>
        <w:adjustRightInd w:val="0"/>
        <w:spacing w:before="120" w:after="120"/>
        <w:textAlignment w:val="baseline"/>
        <w:rPr>
          <w:rFonts w:eastAsia="微软雅黑"/>
          <w:sz w:val="20"/>
          <w:szCs w:val="20"/>
        </w:rPr>
      </w:pPr>
      <w:r>
        <w:rPr>
          <w:rFonts w:eastAsia="微软雅黑"/>
          <w:sz w:val="20"/>
          <w:szCs w:val="20"/>
        </w:rPr>
        <w:t>In this subsection, we discuss the applicable scope of an indicated TCI state.</w:t>
      </w:r>
    </w:p>
    <w:p>
      <w:pPr>
        <w:pStyle w:val="111"/>
        <w:numPr>
          <w:ilvl w:val="0"/>
          <w:numId w:val="25"/>
        </w:numPr>
        <w:spacing w:before="120" w:beforeLines="50" w:after="120" w:line="300" w:lineRule="auto"/>
        <w:ind w:firstLineChars="0"/>
        <w:jc w:val="both"/>
        <w:rPr>
          <w:rFonts w:eastAsia="微软雅黑"/>
          <w:szCs w:val="20"/>
        </w:rPr>
      </w:pPr>
      <w:r>
        <w:rPr>
          <w:rFonts w:eastAsia="微软雅黑"/>
          <w:szCs w:val="20"/>
        </w:rPr>
        <w:t>Regarding TCI-StateIndicationType, ControlResourceSet, CSI-AssociatedReportConfigInfo, NZP-CSI-RS-Resource, and PDSCH-Config, in general, only Rel-17 unified TCI state pool is configured, rather than both Rel-17 unified TCI state pool and legacy TCI state pool. But, we need to further discuss whether we need to just introduce the Rel-17 TCI state list or replacing the all legacy TCI state pool by the Rel-17 TCI state list directly. From our perspective, the former seems better for backward compatibility.</w:t>
      </w:r>
    </w:p>
    <w:p>
      <w:pPr>
        <w:pStyle w:val="111"/>
        <w:numPr>
          <w:ilvl w:val="1"/>
          <w:numId w:val="25"/>
        </w:numPr>
        <w:spacing w:before="120" w:beforeLines="50" w:after="120" w:line="300" w:lineRule="auto"/>
        <w:ind w:firstLineChars="0"/>
        <w:jc w:val="both"/>
        <w:rPr>
          <w:rFonts w:eastAsia="微软雅黑"/>
        </w:rPr>
      </w:pPr>
      <w:r>
        <w:rPr>
          <w:rFonts w:eastAsia="微软雅黑"/>
        </w:rPr>
        <w:t>Note that, non-UE-dedicated CORESET, periodic/aperiodic TRS, etc, still need to be configured with QCL assumption by legacy TCI state configuration/activation/indication mechanism with the Rel-17 unified TCI state pool.</w:t>
      </w:r>
    </w:p>
    <w:p>
      <w:pPr>
        <w:pStyle w:val="85"/>
        <w:widowControl/>
        <w:numPr>
          <w:ilvl w:val="0"/>
          <w:numId w:val="25"/>
        </w:numPr>
        <w:overflowPunct w:val="0"/>
        <w:autoSpaceDE w:val="0"/>
        <w:autoSpaceDN w:val="0"/>
        <w:adjustRightInd w:val="0"/>
        <w:spacing w:before="120" w:beforeLines="50" w:after="120" w:line="300" w:lineRule="auto"/>
        <w:ind w:firstLineChars="0"/>
        <w:textAlignment w:val="baseline"/>
        <w:rPr>
          <w:rFonts w:eastAsia="微软雅黑"/>
        </w:rPr>
      </w:pPr>
      <w:r>
        <w:rPr>
          <w:rFonts w:eastAsia="微软雅黑"/>
        </w:rPr>
        <w:t>Regarding TimeDurationForQCL_r17, considering flexibility of the application time for different scenarios, such as cross CC, inter-cell, inter-panel, etc., one straightforward way is by means of indication via a field, e.g. TDRA, in DCI, especially for DCI without DL assignment. Therefore, we suggest to introduce this parameter TimeDurationForQCL_r17 into RRC parameter PDSCH-TimeDomainResourceAllocationList.</w:t>
      </w:r>
    </w:p>
    <w:p>
      <w:pPr>
        <w:pStyle w:val="85"/>
        <w:widowControl/>
        <w:numPr>
          <w:ilvl w:val="0"/>
          <w:numId w:val="25"/>
        </w:numPr>
        <w:overflowPunct w:val="0"/>
        <w:autoSpaceDE w:val="0"/>
        <w:autoSpaceDN w:val="0"/>
        <w:adjustRightInd w:val="0"/>
        <w:spacing w:before="120" w:beforeLines="50" w:after="120" w:line="300" w:lineRule="auto"/>
        <w:ind w:firstLineChars="0"/>
        <w:textAlignment w:val="baseline"/>
        <w:rPr>
          <w:rFonts w:eastAsia="微软雅黑"/>
        </w:rPr>
      </w:pPr>
      <w:r>
        <w:rPr>
          <w:rFonts w:eastAsia="微软雅黑"/>
        </w:rPr>
        <w:t>Regarding TCI-StateSharingList and ApplyTCI-State-r17forSRS, we are open to further consider those two parameters.</w:t>
      </w:r>
    </w:p>
    <w:p>
      <w:pPr>
        <w:spacing w:before="120"/>
        <w:rPr>
          <w:i/>
        </w:rPr>
      </w:pPr>
      <w:r>
        <w:rPr>
          <w:b/>
          <w:i/>
        </w:rPr>
        <w:t>Proposal 21</w:t>
      </w:r>
      <w:r>
        <w:rPr>
          <w:rFonts w:hint="eastAsia"/>
          <w:b/>
          <w:i/>
        </w:rPr>
        <w:t xml:space="preserve">: </w:t>
      </w:r>
      <w:r>
        <w:rPr>
          <w:i/>
        </w:rPr>
        <w:t xml:space="preserve">For applicable scope of an indicated TCI state, </w:t>
      </w:r>
    </w:p>
    <w:p>
      <w:pPr>
        <w:pStyle w:val="111"/>
        <w:numPr>
          <w:ilvl w:val="0"/>
          <w:numId w:val="25"/>
        </w:numPr>
        <w:spacing w:before="120" w:beforeLines="50" w:after="120" w:line="300" w:lineRule="auto"/>
        <w:ind w:firstLineChars="0"/>
        <w:jc w:val="both"/>
        <w:rPr>
          <w:i/>
        </w:rPr>
      </w:pPr>
      <w:r>
        <w:rPr>
          <w:i/>
        </w:rPr>
        <w:t>Regarding TCI-StateIndicationType, ControlResourceSet, CSI-AssociatedReportConfigInfo, NZP-CSI-RS-Resource, and PDSCH-Config, a new TCI-state list can be introduced directly rather than replacing the legacy one;</w:t>
      </w:r>
    </w:p>
    <w:p>
      <w:pPr>
        <w:pStyle w:val="111"/>
        <w:numPr>
          <w:ilvl w:val="0"/>
          <w:numId w:val="25"/>
        </w:numPr>
        <w:spacing w:before="120" w:beforeLines="50" w:after="120" w:line="300" w:lineRule="auto"/>
        <w:ind w:firstLineChars="0"/>
        <w:jc w:val="both"/>
        <w:rPr>
          <w:i/>
        </w:rPr>
      </w:pPr>
      <w:r>
        <w:rPr>
          <w:i/>
        </w:rPr>
        <w:t>Regarding TimeDurationForQCL_r17, in order to improving flexibility of the application time, the parameter TimeDurationForQCL_r17 is introduced in PDSCH-TimeDomainResourceAllocation.</w:t>
      </w:r>
    </w:p>
    <w:p>
      <w:pPr>
        <w:pStyle w:val="111"/>
        <w:numPr>
          <w:ilvl w:val="0"/>
          <w:numId w:val="25"/>
        </w:numPr>
        <w:spacing w:before="120" w:beforeLines="50" w:after="120" w:line="300" w:lineRule="auto"/>
        <w:ind w:firstLineChars="0"/>
        <w:jc w:val="both"/>
        <w:rPr>
          <w:i/>
        </w:rPr>
      </w:pPr>
      <w:r>
        <w:rPr>
          <w:i/>
        </w:rPr>
        <w:t>Regarding TCI-StateSharingList and ApplyTCI-State-r17forSRS, we are open to further consider those two parameters.</w:t>
      </w:r>
    </w:p>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eastAsia="宋体"/>
          <w:b/>
          <w:bCs/>
          <w:kern w:val="2"/>
          <w:sz w:val="24"/>
          <w:szCs w:val="24"/>
        </w:rPr>
        <w:t>Inter-cell beam management</w:t>
      </w:r>
    </w:p>
    <w:p>
      <w:pPr>
        <w:overflowPunct w:val="0"/>
        <w:autoSpaceDE w:val="0"/>
        <w:autoSpaceDN w:val="0"/>
        <w:adjustRightInd w:val="0"/>
        <w:spacing w:before="120"/>
        <w:textAlignment w:val="baseline"/>
        <w:rPr>
          <w:rFonts w:eastAsia="微软雅黑"/>
          <w:lang w:val="en-GB"/>
        </w:rPr>
      </w:pPr>
      <w:r>
        <w:rPr>
          <w:rFonts w:eastAsia="微软雅黑"/>
          <w:lang w:val="en-GB"/>
        </w:rPr>
        <w:t>In this subsection, we discuss the RRC parameters for inter-cell beam management (L1-centric mobility).</w:t>
      </w:r>
    </w:p>
    <w:p>
      <w:pPr>
        <w:pStyle w:val="111"/>
        <w:numPr>
          <w:ilvl w:val="0"/>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Regarding InterCellAdditionalPCI, and QCL-Info_NeighbourCell, we prefer to use the above Rel-17 TCI state to achieve this function directly. </w:t>
      </w:r>
    </w:p>
    <w:p>
      <w:pPr>
        <w:pStyle w:val="111"/>
        <w:numPr>
          <w:ilvl w:val="1"/>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First we have some concerns about directly adding PCI into this Rel-17 TCI state IE which is against the already agreement in inter-cell mTRP. Therefore, InterCellAdditionalPCI should be modified as interCellAdditionalNeighboringCell that contains PCI, SSB time domain location, SSB periodicity and SSB transmission power. </w:t>
      </w:r>
    </w:p>
    <w:p>
      <w:pPr>
        <w:pStyle w:val="111"/>
        <w:numPr>
          <w:ilvl w:val="1"/>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Then, the discussion on whether/how to introduce QCL-Info_NeighbourCell should be postponed and may be up to RAN2 signalling design. In technical, we should strive to have a unified solution for inter-cell beam management and inter-cell mTRP in Rel-17. </w:t>
      </w:r>
    </w:p>
    <w:p>
      <w:pPr>
        <w:pStyle w:val="111"/>
        <w:numPr>
          <w:ilvl w:val="0"/>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Regarding InterCellBeamMetrics, InterCellMeasurementRS, and InterCellReportType, the necessity of those three parameters should be justified. Alternatively, it can be achieved by the legacy CSI framework well, besides that we have a new SSB-Index_r17 containing (interCellAdditionalNeighboringCell, SSB-index) in CSI-SSB-ResourceSet.</w:t>
      </w:r>
    </w:p>
    <w:p>
      <w:pPr>
        <w:spacing w:before="120"/>
        <w:rPr>
          <w:i/>
        </w:rPr>
      </w:pPr>
      <w:r>
        <w:rPr>
          <w:b/>
          <w:i/>
        </w:rPr>
        <w:t>Proposal 22</w:t>
      </w:r>
      <w:r>
        <w:rPr>
          <w:rFonts w:hint="eastAsia"/>
          <w:b/>
          <w:i/>
        </w:rPr>
        <w:t xml:space="preserve">: </w:t>
      </w:r>
      <w:r>
        <w:rPr>
          <w:i/>
        </w:rPr>
        <w:t>For inter-cell beam management, the following modification is proposed in red</w:t>
      </w:r>
    </w:p>
    <w:tbl>
      <w:tblPr>
        <w:tblStyle w:val="23"/>
        <w:tblW w:w="9351" w:type="dxa"/>
        <w:tblInd w:w="0" w:type="dxa"/>
        <w:shd w:val="clear" w:color="auto" w:fill="FFFFFF" w:themeFill="background1"/>
        <w:tblLayout w:type="autofit"/>
        <w:tblCellMar>
          <w:top w:w="0" w:type="dxa"/>
          <w:left w:w="108" w:type="dxa"/>
          <w:bottom w:w="0" w:type="dxa"/>
          <w:right w:w="108" w:type="dxa"/>
        </w:tblCellMar>
      </w:tblPr>
      <w:tblGrid>
        <w:gridCol w:w="3116"/>
        <w:gridCol w:w="6235"/>
      </w:tblGrid>
      <w:tr>
        <w:tblPrEx>
          <w:shd w:val="clear" w:color="auto" w:fill="FFFFFF" w:themeFill="background1"/>
          <w:tblCellMar>
            <w:top w:w="0" w:type="dxa"/>
            <w:left w:w="108" w:type="dxa"/>
            <w:bottom w:w="0" w:type="dxa"/>
            <w:right w:w="108" w:type="dxa"/>
          </w:tblCellMar>
        </w:tblPrEx>
        <w:trPr>
          <w:trHeight w:val="750" w:hRule="atLeast"/>
        </w:trPr>
        <w:tc>
          <w:tcPr>
            <w:tcW w:w="292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InterCellBeamMetrics</w:t>
            </w:r>
          </w:p>
        </w:tc>
        <w:tc>
          <w:tcPr>
            <w:tcW w:w="6431"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Number of inter-cell beam management metrics</w:t>
            </w:r>
          </w:p>
        </w:tc>
      </w:tr>
      <w:tr>
        <w:tblPrEx>
          <w:shd w:val="clear" w:color="auto" w:fill="FFFFFF" w:themeFill="background1"/>
          <w:tblCellMar>
            <w:top w:w="0" w:type="dxa"/>
            <w:left w:w="108" w:type="dxa"/>
            <w:bottom w:w="0" w:type="dxa"/>
            <w:right w:w="108" w:type="dxa"/>
          </w:tblCellMar>
        </w:tblPrEx>
        <w:trPr>
          <w:trHeight w:val="75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InterCellMeasurementRS</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List of measurement RS for inter-cell beam management of type SSB-Index</w:t>
            </w:r>
          </w:p>
        </w:tc>
      </w:tr>
      <w:tr>
        <w:tblPrEx>
          <w:shd w:val="clear" w:color="auto" w:fill="FFFFFF" w:themeFill="background1"/>
          <w:tblCellMar>
            <w:top w:w="0" w:type="dxa"/>
            <w:left w:w="108" w:type="dxa"/>
            <w:bottom w:w="0" w:type="dxa"/>
            <w:right w:w="108" w:type="dxa"/>
          </w:tblCellMar>
        </w:tblPrEx>
        <w:trPr>
          <w:trHeight w:val="75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InterCellReportType</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Inter-cell beam management report type</w:t>
            </w:r>
          </w:p>
        </w:tc>
      </w:tr>
      <w:tr>
        <w:tblPrEx>
          <w:shd w:val="clear" w:color="auto" w:fill="FFFFFF" w:themeFill="background1"/>
          <w:tblCellMar>
            <w:top w:w="0" w:type="dxa"/>
            <w:left w:w="108" w:type="dxa"/>
            <w:bottom w:w="0" w:type="dxa"/>
            <w:right w:w="108" w:type="dxa"/>
          </w:tblCellMar>
        </w:tblPrEx>
        <w:trPr>
          <w:trHeight w:val="75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color w:val="FF0000"/>
              </w:rPr>
              <w:t>SSB-Index_r17</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color w:val="FF0000"/>
                <w:sz w:val="18"/>
                <w:szCs w:val="18"/>
              </w:rPr>
              <w:t>Containing (</w:t>
            </w:r>
            <w:r>
              <w:rPr>
                <w:rFonts w:eastAsia="微软雅黑"/>
                <w:color w:val="FF0000"/>
                <w:lang w:val="en-GB"/>
              </w:rPr>
              <w:t>interCellAdditionalNeighboringCell</w:t>
            </w:r>
            <w:r>
              <w:rPr>
                <w:rFonts w:ascii="Arial" w:hAnsi="Arial" w:eastAsia="Times New Roman" w:cs="Arial"/>
                <w:color w:val="FF0000"/>
                <w:sz w:val="18"/>
                <w:szCs w:val="18"/>
              </w:rPr>
              <w:t>, SSB-index) in CSI-SSB-ResourceSet</w:t>
            </w:r>
          </w:p>
        </w:tc>
      </w:tr>
      <w:tr>
        <w:tblPrEx>
          <w:shd w:val="clear" w:color="auto" w:fill="FFFFFF" w:themeFill="background1"/>
          <w:tblCellMar>
            <w:top w:w="0" w:type="dxa"/>
            <w:left w:w="108" w:type="dxa"/>
            <w:bottom w:w="0" w:type="dxa"/>
            <w:right w:w="108" w:type="dxa"/>
          </w:tblCellMar>
        </w:tblPrEx>
        <w:trPr>
          <w:trHeight w:val="50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eastAsia="微软雅黑"/>
                <w:color w:val="FF0000"/>
                <w:lang w:val="en-GB"/>
              </w:rPr>
              <w:t>interCellAdditionalNeighboringCell</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 xml:space="preserve">Additional </w:t>
            </w:r>
            <w:r>
              <w:rPr>
                <w:rFonts w:ascii="Arial" w:hAnsi="Arial" w:eastAsia="Times New Roman" w:cs="Arial"/>
                <w:color w:val="FF0000"/>
                <w:sz w:val="18"/>
                <w:szCs w:val="18"/>
              </w:rPr>
              <w:t>{</w:t>
            </w:r>
            <w:r>
              <w:rPr>
                <w:rFonts w:eastAsia="微软雅黑"/>
                <w:color w:val="FF0000"/>
                <w:lang w:val="en-GB"/>
              </w:rPr>
              <w:t>PCI, SSB time domain location, SSB periodicity and SSB transmission power</w:t>
            </w:r>
            <w:r>
              <w:rPr>
                <w:rFonts w:ascii="Arial" w:hAnsi="Arial" w:eastAsia="Times New Roman" w:cs="Arial"/>
                <w:color w:val="FF0000"/>
                <w:sz w:val="18"/>
                <w:szCs w:val="18"/>
              </w:rPr>
              <w:t xml:space="preserve">} </w:t>
            </w:r>
            <w:r>
              <w:rPr>
                <w:rFonts w:ascii="Arial" w:hAnsi="Arial" w:eastAsia="Times New Roman" w:cs="Arial"/>
                <w:sz w:val="18"/>
                <w:szCs w:val="18"/>
              </w:rPr>
              <w:t>for inter-cell beam management measurement and reporting</w:t>
            </w:r>
          </w:p>
        </w:tc>
      </w:tr>
      <w:tr>
        <w:tblPrEx>
          <w:shd w:val="clear" w:color="auto" w:fill="FFFFFF" w:themeFill="background1"/>
          <w:tblCellMar>
            <w:top w:w="0" w:type="dxa"/>
            <w:left w:w="108" w:type="dxa"/>
            <w:bottom w:w="0" w:type="dxa"/>
            <w:right w:w="108" w:type="dxa"/>
          </w:tblCellMar>
        </w:tblPrEx>
        <w:trPr>
          <w:trHeight w:val="125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color w:val="FF0000"/>
                <w:sz w:val="18"/>
                <w:szCs w:val="18"/>
              </w:rPr>
              <w:t>[QCL-Info_NeighbourCell]</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 We don't have an explicit agreement for this **</w:t>
            </w:r>
            <w:r>
              <w:rPr>
                <w:rFonts w:ascii="Arial" w:hAnsi="Arial" w:eastAsia="Times New Roman" w:cs="Arial"/>
                <w:sz w:val="18"/>
                <w:szCs w:val="18"/>
              </w:rPr>
              <w:br w:type="textWrapping"/>
            </w:r>
            <w:r>
              <w:rPr>
                <w:rFonts w:ascii="Arial" w:hAnsi="Arial" w:eastAsia="Times New Roman" w:cs="Arial"/>
                <w:sz w:val="18"/>
                <w:szCs w:val="18"/>
              </w:rPr>
              <w:t>NZP-CSI-RS QCLed with SSB of a cell with PCI different from that of serving cell, includes</w:t>
            </w:r>
            <w:r>
              <w:rPr>
                <w:rFonts w:ascii="Arial" w:hAnsi="Arial" w:eastAsia="Times New Roman" w:cs="Arial"/>
                <w:sz w:val="18"/>
                <w:szCs w:val="18"/>
              </w:rPr>
              <w:br w:type="textWrapping"/>
            </w:r>
            <w:r>
              <w:rPr>
                <w:rFonts w:ascii="Arial" w:hAnsi="Arial" w:eastAsia="Times New Roman" w:cs="Arial"/>
                <w:sz w:val="18"/>
                <w:szCs w:val="18"/>
              </w:rPr>
              <w:t>SSB-Index</w:t>
            </w:r>
            <w:r>
              <w:rPr>
                <w:rFonts w:ascii="Arial" w:hAnsi="Arial" w:eastAsia="Times New Roman" w:cs="Arial"/>
                <w:sz w:val="18"/>
                <w:szCs w:val="18"/>
              </w:rPr>
              <w:br w:type="textWrapping"/>
            </w:r>
            <w:r>
              <w:rPr>
                <w:rFonts w:ascii="Arial" w:hAnsi="Arial" w:eastAsia="Times New Roman" w:cs="Arial"/>
                <w:strike/>
                <w:color w:val="FF0000"/>
                <w:sz w:val="18"/>
                <w:szCs w:val="18"/>
              </w:rPr>
              <w:t>PCI</w:t>
            </w:r>
            <w:r>
              <w:rPr>
                <w:rFonts w:hint="eastAsia" w:eastAsia="微软雅黑"/>
                <w:color w:val="FF0000"/>
              </w:rPr>
              <w:t>indicationofTCIstategroup</w:t>
            </w:r>
          </w:p>
        </w:tc>
      </w:tr>
    </w:tbl>
    <w:p>
      <w:pPr>
        <w:keepNext/>
        <w:keepLines/>
        <w:widowControl w:val="0"/>
        <w:numPr>
          <w:ilvl w:val="1"/>
          <w:numId w:val="7"/>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eastAsia="宋体"/>
          <w:b/>
          <w:bCs/>
          <w:kern w:val="2"/>
          <w:sz w:val="24"/>
          <w:szCs w:val="24"/>
        </w:rPr>
        <w:t>MPE mitigation</w:t>
      </w:r>
    </w:p>
    <w:p>
      <w:pPr>
        <w:overflowPunct w:val="0"/>
        <w:autoSpaceDE w:val="0"/>
        <w:autoSpaceDN w:val="0"/>
        <w:adjustRightInd w:val="0"/>
        <w:spacing w:before="120"/>
        <w:textAlignment w:val="baseline"/>
        <w:rPr>
          <w:rFonts w:eastAsia="微软雅黑"/>
          <w:lang w:val="en-GB"/>
        </w:rPr>
      </w:pPr>
      <w:r>
        <w:rPr>
          <w:rFonts w:eastAsia="微软雅黑"/>
          <w:lang w:val="en-GB"/>
        </w:rPr>
        <w:t>In this subsection, we discuss the RRC parameters for MPE mitigation</w:t>
      </w:r>
    </w:p>
    <w:p>
      <w:pPr>
        <w:pStyle w:val="111"/>
        <w:numPr>
          <w:ilvl w:val="0"/>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Regarding MPE-Config-FR2-r17, mpe-ProhibitTimer-r17 and mpe-Threshold-r17, we suggest to reuse the already PHR related parameters, and these three parameters can be removed.</w:t>
      </w:r>
    </w:p>
    <w:p>
      <w:pPr>
        <w:pStyle w:val="111"/>
        <w:numPr>
          <w:ilvl w:val="0"/>
          <w:numId w:val="25"/>
        </w:numPr>
        <w:overflowPunct w:val="0"/>
        <w:autoSpaceDE w:val="0"/>
        <w:autoSpaceDN w:val="0"/>
        <w:adjustRightInd w:val="0"/>
        <w:spacing w:before="120" w:beforeLines="50" w:after="120" w:line="300" w:lineRule="auto"/>
        <w:ind w:firstLineChars="0"/>
        <w:jc w:val="both"/>
        <w:textAlignment w:val="baseline"/>
        <w:rPr>
          <w:rFonts w:eastAsia="微软雅黑"/>
          <w:lang w:val="en-GB"/>
        </w:rPr>
      </w:pPr>
      <w:r>
        <w:rPr>
          <w:rFonts w:eastAsia="微软雅黑"/>
          <w:lang w:val="en-GB"/>
        </w:rPr>
        <w:t xml:space="preserve">Then, we need to consider another new IE about candidateRsSet-MPE based on the following WA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20" w:after="0" w:line="257" w:lineRule="auto"/>
              <w:rPr>
                <w:b/>
                <w:bCs/>
                <w:sz w:val="18"/>
                <w:szCs w:val="18"/>
              </w:rPr>
            </w:pPr>
            <w:r>
              <w:rPr>
                <w:b/>
                <w:bCs/>
                <w:sz w:val="18"/>
                <w:szCs w:val="18"/>
              </w:rPr>
              <w:t>Agreement</w:t>
            </w:r>
          </w:p>
          <w:p>
            <w:pPr>
              <w:snapToGrid w:val="0"/>
              <w:spacing w:after="0"/>
              <w:rPr>
                <w:rFonts w:eastAsia="Times New Roman"/>
                <w:sz w:val="18"/>
                <w:szCs w:val="18"/>
              </w:rPr>
            </w:pPr>
            <w:r>
              <w:rPr>
                <w:sz w:val="18"/>
                <w:szCs w:val="18"/>
              </w:rPr>
              <w:t xml:space="preserve">On Rel.17 enhancements to facilitate MPE mitigation, </w:t>
            </w:r>
            <w:r>
              <w:rPr>
                <w:rFonts w:eastAsia="Times New Roman"/>
                <w:sz w:val="18"/>
                <w:szCs w:val="18"/>
              </w:rPr>
              <w:t>support the following enhancement on the Rel-16 event-triggered P-MPR-based reporting (included in the PHR report when a threshold is reached, reported via MAC-CE):</w:t>
            </w:r>
          </w:p>
          <w:p>
            <w:pPr>
              <w:pStyle w:val="111"/>
              <w:numPr>
                <w:ilvl w:val="0"/>
                <w:numId w:val="22"/>
              </w:numPr>
              <w:snapToGrid w:val="0"/>
              <w:spacing w:after="0" w:line="240" w:lineRule="auto"/>
              <w:ind w:firstLineChars="0"/>
              <w:jc w:val="both"/>
              <w:rPr>
                <w:rFonts w:eastAsia="Times New Roman"/>
                <w:sz w:val="18"/>
                <w:szCs w:val="18"/>
              </w:rPr>
            </w:pPr>
            <w:r>
              <w:rPr>
                <w:rFonts w:eastAsia="Times New Roman"/>
                <w:sz w:val="18"/>
                <w:szCs w:val="18"/>
              </w:rPr>
              <w:t xml:space="preserve">In addition to the existing field in the PHR MAC-CE, N≥1 P-MPR values can be reported </w:t>
            </w:r>
          </w:p>
          <w:p>
            <w:pPr>
              <w:pStyle w:val="111"/>
              <w:numPr>
                <w:ilvl w:val="1"/>
                <w:numId w:val="22"/>
              </w:numPr>
              <w:snapToGrid w:val="0"/>
              <w:spacing w:after="0" w:line="240" w:lineRule="auto"/>
              <w:ind w:firstLineChars="0"/>
              <w:jc w:val="both"/>
              <w:rPr>
                <w:rFonts w:eastAsia="Times New Roman"/>
                <w:sz w:val="18"/>
                <w:szCs w:val="18"/>
              </w:rPr>
            </w:pPr>
            <w:r>
              <w:rPr>
                <w:rFonts w:eastAsia="Times New Roman"/>
                <w:sz w:val="18"/>
                <w:szCs w:val="18"/>
              </w:rPr>
              <w:t>The N P-MPR values are reported together with the following:</w:t>
            </w:r>
          </w:p>
          <w:p>
            <w:pPr>
              <w:pStyle w:val="111"/>
              <w:numPr>
                <w:ilvl w:val="2"/>
                <w:numId w:val="22"/>
              </w:numPr>
              <w:snapToGrid w:val="0"/>
              <w:spacing w:after="0" w:line="240" w:lineRule="auto"/>
              <w:ind w:firstLineChars="0"/>
              <w:jc w:val="both"/>
              <w:rPr>
                <w:rFonts w:eastAsia="Times New Roman"/>
                <w:sz w:val="18"/>
                <w:szCs w:val="18"/>
              </w:rPr>
            </w:pPr>
            <w:r>
              <w:rPr>
                <w:rFonts w:eastAsia="Times New Roman"/>
                <w:sz w:val="18"/>
                <w:szCs w:val="18"/>
              </w:rPr>
              <w:t>(</w:t>
            </w:r>
            <w:r>
              <w:rPr>
                <w:rFonts w:eastAsia="Times New Roman"/>
                <w:sz w:val="18"/>
                <w:szCs w:val="18"/>
                <w:highlight w:val="darkYellow"/>
              </w:rPr>
              <w:t>Working Assumption</w:t>
            </w:r>
            <w:r>
              <w:rPr>
                <w:rFonts w:eastAsia="Times New Roman"/>
                <w:sz w:val="18"/>
                <w:szCs w:val="18"/>
              </w:rPr>
              <w:t xml:space="preserve">) For each P-MPR value, up to M SSBRI(s)/CRI(s), where the SSBRI(s)/CRI(s) is selected by the UE from </w:t>
            </w:r>
            <w:r>
              <w:rPr>
                <w:rFonts w:eastAsia="Times New Roman"/>
                <w:sz w:val="18"/>
                <w:szCs w:val="18"/>
                <w:highlight w:val="yellow"/>
              </w:rPr>
              <w:t>a candidate SSB/CSI-RS resource pool</w:t>
            </w:r>
            <w:r>
              <w:rPr>
                <w:rFonts w:eastAsia="Times New Roman"/>
                <w:sz w:val="18"/>
                <w:szCs w:val="18"/>
              </w:rPr>
              <w:t xml:space="preserve"> (FFS: how to perform the selection)</w:t>
            </w:r>
          </w:p>
          <w:p>
            <w:pPr>
              <w:pStyle w:val="111"/>
              <w:numPr>
                <w:ilvl w:val="3"/>
                <w:numId w:val="22"/>
              </w:numPr>
              <w:snapToGrid w:val="0"/>
              <w:spacing w:after="0" w:line="240" w:lineRule="auto"/>
              <w:ind w:firstLineChars="0"/>
              <w:jc w:val="both"/>
              <w:rPr>
                <w:rFonts w:eastAsia="Times New Roman"/>
                <w:sz w:val="18"/>
                <w:szCs w:val="18"/>
              </w:rPr>
            </w:pPr>
            <w:r>
              <w:rPr>
                <w:rFonts w:eastAsia="Times New Roman"/>
                <w:sz w:val="18"/>
                <w:szCs w:val="18"/>
              </w:rPr>
              <w:t>FFS: The supported value(s) of M</w:t>
            </w:r>
          </w:p>
        </w:tc>
      </w:tr>
    </w:tbl>
    <w:p>
      <w:pPr>
        <w:spacing w:before="120"/>
        <w:rPr>
          <w:i/>
        </w:rPr>
      </w:pPr>
      <w:r>
        <w:rPr>
          <w:b/>
          <w:i/>
        </w:rPr>
        <w:t>Proposal 23</w:t>
      </w:r>
      <w:r>
        <w:rPr>
          <w:rFonts w:hint="eastAsia"/>
          <w:b/>
          <w:i/>
        </w:rPr>
        <w:t xml:space="preserve">: </w:t>
      </w:r>
      <w:r>
        <w:rPr>
          <w:i/>
        </w:rPr>
        <w:t>For RRC configuration for MPE mitigation, the following modification is proposed in red</w:t>
      </w:r>
    </w:p>
    <w:tbl>
      <w:tblPr>
        <w:tblStyle w:val="23"/>
        <w:tblW w:w="9498" w:type="dxa"/>
        <w:tblInd w:w="-5" w:type="dxa"/>
        <w:tblLayout w:type="autofit"/>
        <w:tblCellMar>
          <w:top w:w="0" w:type="dxa"/>
          <w:left w:w="108" w:type="dxa"/>
          <w:bottom w:w="0" w:type="dxa"/>
          <w:right w:w="108" w:type="dxa"/>
        </w:tblCellMar>
      </w:tblPr>
      <w:tblGrid>
        <w:gridCol w:w="2920"/>
        <w:gridCol w:w="6578"/>
      </w:tblGrid>
      <w:tr>
        <w:tblPrEx>
          <w:tblCellMar>
            <w:top w:w="0" w:type="dxa"/>
            <w:left w:w="108" w:type="dxa"/>
            <w:bottom w:w="0" w:type="dxa"/>
            <w:right w:w="108" w:type="dxa"/>
          </w:tblCellMar>
        </w:tblPrEx>
        <w:trPr>
          <w:trHeight w:val="1000" w:hRule="atLeast"/>
        </w:trPr>
        <w:tc>
          <w:tcPr>
            <w:tcW w:w="292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rPr>
            </w:pPr>
            <w:r>
              <w:rPr>
                <w:rFonts w:ascii="Arial" w:hAnsi="Arial" w:eastAsia="Times New Roman" w:cs="Arial"/>
                <w:sz w:val="18"/>
              </w:rPr>
              <w:t>mpe-Reporting-FR2-r17</w:t>
            </w:r>
          </w:p>
        </w:tc>
        <w:tc>
          <w:tcPr>
            <w:tcW w:w="6578"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rPr>
            </w:pPr>
            <w:r>
              <w:rPr>
                <w:rFonts w:ascii="Arial" w:hAnsi="Arial" w:eastAsia="Times New Roman" w:cs="Arial"/>
                <w:sz w:val="18"/>
              </w:rPr>
              <w:t>Indicates whether the UE shall report Rel17 MPE P-MPR in the PHR MAC control element, as specified in TS 38.321 [3] - This can be in PHR-Config (up to RAN2)</w:t>
            </w:r>
          </w:p>
        </w:tc>
      </w:tr>
      <w:tr>
        <w:tblPrEx>
          <w:tblCellMar>
            <w:top w:w="0" w:type="dxa"/>
            <w:left w:w="108" w:type="dxa"/>
            <w:bottom w:w="0" w:type="dxa"/>
            <w:right w:w="108" w:type="dxa"/>
          </w:tblCellMar>
        </w:tblPrEx>
        <w:trPr>
          <w:trHeight w:val="1000" w:hRule="atLeast"/>
        </w:trPr>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MPE-Config-FR2-r17</w:t>
            </w:r>
          </w:p>
        </w:tc>
        <w:tc>
          <w:tcPr>
            <w:tcW w:w="6578"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This can be in PHR-Config (up to RAN2)</w:t>
            </w:r>
          </w:p>
        </w:tc>
      </w:tr>
      <w:tr>
        <w:tblPrEx>
          <w:tblCellMar>
            <w:top w:w="0" w:type="dxa"/>
            <w:left w:w="108" w:type="dxa"/>
            <w:bottom w:w="0" w:type="dxa"/>
            <w:right w:w="108" w:type="dxa"/>
          </w:tblCellMar>
        </w:tblPrEx>
        <w:trPr>
          <w:trHeight w:val="1000" w:hRule="atLeast"/>
        </w:trPr>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mpe-ProhibitTimer-r17</w:t>
            </w:r>
          </w:p>
        </w:tc>
        <w:tc>
          <w:tcPr>
            <w:tcW w:w="6578"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Value in number of subframes for MPE reporting, as specified in TS 38.321 [3]. Value sf10 corresponds to 10 subframes, and so on. This can be in PHR-Config (up to RAN2)</w:t>
            </w:r>
          </w:p>
        </w:tc>
      </w:tr>
      <w:tr>
        <w:tblPrEx>
          <w:tblCellMar>
            <w:top w:w="0" w:type="dxa"/>
            <w:left w:w="108" w:type="dxa"/>
            <w:bottom w:w="0" w:type="dxa"/>
            <w:right w:w="108" w:type="dxa"/>
          </w:tblCellMar>
        </w:tblPrEx>
        <w:trPr>
          <w:trHeight w:val="1118" w:hRule="atLeast"/>
        </w:trPr>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mpe-Threshold-r17</w:t>
            </w:r>
          </w:p>
        </w:tc>
        <w:tc>
          <w:tcPr>
            <w:tcW w:w="6578"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Value of the P-MPR threshold in dB for reporting MPE P-MPR when FR2 is configured, as specified in TS 38.321 [3]. The same value applies for each serving cell (although the associated functionality is performed independently for each cell). This can be in PHR-Config (up to RAN2)</w:t>
            </w:r>
          </w:p>
        </w:tc>
      </w:tr>
      <w:tr>
        <w:tblPrEx>
          <w:tblCellMar>
            <w:top w:w="0" w:type="dxa"/>
            <w:left w:w="108" w:type="dxa"/>
            <w:bottom w:w="0" w:type="dxa"/>
            <w:right w:w="108" w:type="dxa"/>
          </w:tblCellMar>
        </w:tblPrEx>
        <w:trPr>
          <w:trHeight w:val="1000" w:hRule="atLeast"/>
        </w:trPr>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rPr>
            </w:pPr>
            <w:r>
              <w:rPr>
                <w:rFonts w:ascii="Arial" w:hAnsi="Arial" w:eastAsia="Times New Roman" w:cs="Arial"/>
                <w:sz w:val="18"/>
              </w:rPr>
              <w:t>numberOfN</w:t>
            </w:r>
          </w:p>
        </w:tc>
        <w:tc>
          <w:tcPr>
            <w:tcW w:w="6578"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rPr>
            </w:pPr>
            <w:r>
              <w:rPr>
                <w:rFonts w:ascii="Arial" w:hAnsi="Arial" w:eastAsia="Times New Roman" w:cs="Arial"/>
                <w:sz w:val="18"/>
              </w:rPr>
              <w:t>Number of reported P-MPR values</w:t>
            </w:r>
            <w:r>
              <w:rPr>
                <w:rFonts w:ascii="Arial" w:hAnsi="Arial" w:eastAsia="Times New Roman" w:cs="Arial"/>
                <w:sz w:val="18"/>
              </w:rPr>
              <w:br w:type="textWrapping"/>
            </w:r>
            <w:r>
              <w:rPr>
                <w:rFonts w:ascii="Arial" w:hAnsi="Arial" w:eastAsia="Times New Roman" w:cs="Arial"/>
                <w:sz w:val="18"/>
              </w:rPr>
              <w:br w:type="textWrapping"/>
            </w:r>
            <w:r>
              <w:rPr>
                <w:rFonts w:ascii="Arial" w:hAnsi="Arial" w:eastAsia="Times New Roman" w:cs="Arial"/>
                <w:sz w:val="18"/>
              </w:rPr>
              <w:t>In addition to the existing field in the PHR MAC-CE, N≥1 P-MPR values can be reported P-MPRs. This can be in PHR-Config (up to RAN2)</w:t>
            </w:r>
          </w:p>
        </w:tc>
      </w:tr>
      <w:tr>
        <w:tblPrEx>
          <w:tblCellMar>
            <w:top w:w="0" w:type="dxa"/>
            <w:left w:w="108" w:type="dxa"/>
            <w:bottom w:w="0" w:type="dxa"/>
            <w:right w:w="108" w:type="dxa"/>
          </w:tblCellMar>
        </w:tblPrEx>
        <w:trPr>
          <w:trHeight w:val="1250" w:hRule="atLeast"/>
        </w:trPr>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[numberOfM]</w:t>
            </w:r>
          </w:p>
        </w:tc>
        <w:tc>
          <w:tcPr>
            <w:tcW w:w="6578"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[max number of SSBRI(s)/CRI(s) per P-MPR</w:t>
            </w:r>
            <w:r>
              <w:rPr>
                <w:rFonts w:ascii="Arial" w:hAnsi="Arial" w:eastAsia="Times New Roman" w:cs="Arial"/>
                <w:strike/>
                <w:color w:val="FF0000"/>
                <w:sz w:val="18"/>
              </w:rPr>
              <w:br w:type="textWrapping"/>
            </w:r>
            <w:r>
              <w:rPr>
                <w:rFonts w:ascii="Arial" w:hAnsi="Arial" w:eastAsia="Times New Roman" w:cs="Arial"/>
                <w:strike/>
                <w:color w:val="FF0000"/>
                <w:sz w:val="18"/>
              </w:rPr>
              <w:br w:type="textWrapping"/>
            </w:r>
            <w:r>
              <w:rPr>
                <w:rFonts w:ascii="Arial" w:hAnsi="Arial" w:eastAsia="Times New Roman" w:cs="Arial"/>
                <w:strike/>
                <w:color w:val="FF0000"/>
                <w:sz w:val="18"/>
              </w:rPr>
              <w:t>Value of M; for each P-MPR, up to M SSBRI(s)/CSI(s) are reported</w:t>
            </w:r>
            <w:r>
              <w:rPr>
                <w:rFonts w:ascii="Arial" w:hAnsi="Arial" w:eastAsia="Times New Roman" w:cs="Arial"/>
                <w:strike/>
                <w:color w:val="FF0000"/>
                <w:sz w:val="18"/>
              </w:rPr>
              <w:br w:type="textWrapping"/>
            </w:r>
            <w:r>
              <w:rPr>
                <w:rFonts w:ascii="Arial" w:hAnsi="Arial" w:eastAsia="Times New Roman" w:cs="Arial"/>
                <w:strike/>
                <w:color w:val="FF0000"/>
                <w:sz w:val="18"/>
              </w:rPr>
              <w:t xml:space="preserve">Note: TBD whether this field may be removed, e.g. when N=M. </w:t>
            </w:r>
            <w:r>
              <w:rPr>
                <w:rFonts w:ascii="Arial" w:hAnsi="Arial" w:eastAsia="Times New Roman" w:cs="Arial"/>
                <w:strike/>
                <w:color w:val="FF0000"/>
                <w:sz w:val="18"/>
              </w:rPr>
              <w:br w:type="textWrapping"/>
            </w:r>
            <w:r>
              <w:rPr>
                <w:rFonts w:ascii="Arial" w:hAnsi="Arial" w:eastAsia="Times New Roman" w:cs="Arial"/>
                <w:strike/>
                <w:color w:val="FF0000"/>
                <w:sz w:val="18"/>
              </w:rPr>
              <w:t>This can be in PHR-Config (up to RAN2)]</w:t>
            </w:r>
          </w:p>
        </w:tc>
      </w:tr>
      <w:tr>
        <w:tblPrEx>
          <w:tblCellMar>
            <w:top w:w="0" w:type="dxa"/>
            <w:left w:w="108" w:type="dxa"/>
            <w:bottom w:w="0" w:type="dxa"/>
            <w:right w:w="108" w:type="dxa"/>
          </w:tblCellMar>
        </w:tblPrEx>
        <w:trPr>
          <w:trHeight w:val="1250" w:hRule="atLeast"/>
        </w:trPr>
        <w:tc>
          <w:tcPr>
            <w:tcW w:w="292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eastAsia="微软雅黑"/>
                <w:color w:val="FF0000"/>
                <w:lang w:val="en-GB"/>
              </w:rPr>
              <w:t>candidateRsSet-MPE</w:t>
            </w:r>
          </w:p>
        </w:tc>
        <w:tc>
          <w:tcPr>
            <w:tcW w:w="6578"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color w:val="FF0000"/>
                <w:sz w:val="18"/>
              </w:rPr>
              <w:t xml:space="preserve">Configures a candidate SSB/CSI-RS resource pool for the selection of SSBRI(s)/CRI(s)  for Rel17 MPE P-MPR in the PHR MAC control element- This can be in PHR-Config (up to RAN2)  </w:t>
            </w:r>
          </w:p>
        </w:tc>
      </w:tr>
    </w:tbl>
    <w:p>
      <w:pPr>
        <w:keepNext/>
        <w:widowControl w:val="0"/>
        <w:numPr>
          <w:ilvl w:val="0"/>
          <w:numId w:val="7"/>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napToGrid w:val="0"/>
        <w:spacing w:before="120" w:after="120" w:afterLines="50" w:line="300" w:lineRule="auto"/>
        <w:jc w:val="both"/>
        <w:rPr>
          <w:rFonts w:eastAsia="微软雅黑"/>
          <w:szCs w:val="20"/>
        </w:rPr>
      </w:pPr>
      <w:r>
        <w:rPr>
          <w:rFonts w:hint="eastAsia" w:eastAsia="微软雅黑"/>
          <w:szCs w:val="20"/>
        </w:rPr>
        <w:t>I</w:t>
      </w:r>
      <w:r>
        <w:rPr>
          <w:rFonts w:eastAsia="微软雅黑"/>
          <w:szCs w:val="20"/>
        </w:rPr>
        <w:t xml:space="preserve">n this contribution, we discuss the </w:t>
      </w:r>
      <w:r>
        <w:rPr>
          <w:rFonts w:eastAsia="微软雅黑"/>
          <w:szCs w:val="20"/>
          <w:lang w:val="en-GB"/>
        </w:rPr>
        <w:t>enhancements on multi-beam operation</w:t>
      </w:r>
      <w:r>
        <w:rPr>
          <w:rFonts w:eastAsia="微软雅黑"/>
          <w:szCs w:val="20"/>
        </w:rPr>
        <w:t xml:space="preserve"> in Rel-17</w:t>
      </w:r>
      <w:r>
        <w:rPr>
          <w:rFonts w:hint="eastAsia" w:eastAsia="微软雅黑"/>
          <w:szCs w:val="20"/>
        </w:rPr>
        <w:t xml:space="preserve"> and RRC parameters for multi-beam operation as well. Proposals are listed as follows.</w:t>
      </w:r>
    </w:p>
    <w:p>
      <w:pPr>
        <w:widowControl w:val="0"/>
        <w:snapToGrid w:val="0"/>
        <w:spacing w:before="120" w:after="120" w:afterLines="50" w:line="300" w:lineRule="auto"/>
        <w:jc w:val="both"/>
        <w:rPr>
          <w:rFonts w:eastAsia="微软雅黑"/>
          <w:szCs w:val="20"/>
          <w:u w:val="single"/>
        </w:rPr>
      </w:pPr>
      <w:r>
        <w:rPr>
          <w:rFonts w:eastAsia="微软雅黑"/>
          <w:szCs w:val="20"/>
          <w:u w:val="single"/>
        </w:rPr>
        <w:t>Unified TCI framework for both DL and UL</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1</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 pool </w:t>
      </w:r>
      <w:r>
        <w:rPr>
          <w:rFonts w:eastAsia="微软雅黑"/>
          <w:i/>
          <w:szCs w:val="20"/>
          <w:lang w:val="en-GB"/>
        </w:rPr>
        <w:t xml:space="preserve">in RRC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w:t>
      </w:r>
    </w:p>
    <w:p>
      <w:pPr>
        <w:pStyle w:val="99"/>
        <w:numPr>
          <w:ilvl w:val="0"/>
          <w:numId w:val="8"/>
        </w:numPr>
        <w:snapToGrid w:val="0"/>
        <w:spacing w:before="60" w:beforeLines="25" w:after="60" w:afterLines="25" w:line="300" w:lineRule="auto"/>
        <w:ind w:left="400" w:firstLineChars="0"/>
        <w:jc w:val="both"/>
        <w:rPr>
          <w:rFonts w:ascii="Times" w:hAnsi="Times" w:eastAsia="宋体" w:cs="Times"/>
          <w:i/>
          <w:iCs/>
          <w:szCs w:val="20"/>
        </w:rPr>
      </w:pPr>
      <w:r>
        <w:rPr>
          <w:rFonts w:ascii="Times" w:hAnsi="Times" w:eastAsia="宋体" w:cs="Times"/>
          <w:i/>
          <w:iCs/>
          <w:szCs w:val="20"/>
        </w:rPr>
        <w:t>For joint TCI state indication, the legacy Rel-15 MAC-CE for PDSCH TCI state activation/deactivation can be used.</w:t>
      </w:r>
    </w:p>
    <w:p>
      <w:pPr>
        <w:pStyle w:val="99"/>
        <w:numPr>
          <w:ilvl w:val="0"/>
          <w:numId w:val="8"/>
        </w:numPr>
        <w:snapToGrid w:val="0"/>
        <w:spacing w:before="60" w:beforeLines="25" w:after="60" w:afterLines="25" w:line="300" w:lineRule="auto"/>
        <w:ind w:left="400" w:firstLineChars="0"/>
        <w:jc w:val="both"/>
        <w:rPr>
          <w:rFonts w:ascii="Times" w:hAnsi="Times" w:eastAsia="宋体" w:cs="Times"/>
          <w:i/>
          <w:iCs/>
          <w:szCs w:val="20"/>
          <w:lang w:val="en-GB"/>
        </w:rPr>
      </w:pPr>
      <w:r>
        <w:rPr>
          <w:rFonts w:ascii="Times" w:hAnsi="Times" w:eastAsia="宋体" w:cs="Times"/>
          <w:i/>
          <w:iCs/>
          <w:szCs w:val="20"/>
        </w:rPr>
        <w:t xml:space="preserve">For separate DL and UL TCI state indication, </w:t>
      </w:r>
      <w:r>
        <w:rPr>
          <w:rFonts w:ascii="Times" w:hAnsi="Times" w:eastAsia="宋体" w:cs="Times"/>
          <w:i/>
          <w:iCs/>
          <w:szCs w:val="20"/>
          <w:lang w:val="en-GB"/>
        </w:rPr>
        <w:t xml:space="preserve">a new MAC-CE is introduced for associating </w:t>
      </w:r>
      <w:r>
        <w:rPr>
          <w:rFonts w:ascii="Times" w:hAnsi="Times" w:eastAsia="宋体" w:cs="Times"/>
          <w:i/>
          <w:iCs/>
          <w:szCs w:val="20"/>
        </w:rPr>
        <w:t xml:space="preserve">one </w:t>
      </w:r>
      <w:r>
        <w:rPr>
          <w:rFonts w:ascii="Times" w:hAnsi="Times" w:eastAsia="宋体" w:cs="Times"/>
          <w:i/>
          <w:iCs/>
          <w:szCs w:val="20"/>
          <w:lang w:val="en-GB"/>
        </w:rPr>
        <w:t>TCI codepoint with up to 2 TCI states for DL and/or UL respectively, which means that the legacy TCI field in DCI can be reused.</w:t>
      </w:r>
    </w:p>
    <w:p>
      <w:pPr>
        <w:snapToGrid w:val="0"/>
        <w:spacing w:before="60" w:beforeLines="25" w:after="60" w:afterLines="25" w:line="300" w:lineRule="auto"/>
        <w:jc w:val="both"/>
        <w:rPr>
          <w:rFonts w:eastAsia="微软雅黑"/>
          <w:i/>
          <w:szCs w:val="20"/>
        </w:rPr>
      </w:pPr>
      <w:r>
        <w:rPr>
          <w:rFonts w:hint="eastAsia" w:eastAsia="微软雅黑"/>
          <w:b/>
          <w:i/>
          <w:szCs w:val="20"/>
          <w:lang w:val="en-GB"/>
        </w:rPr>
        <w:t>P</w:t>
      </w:r>
      <w:r>
        <w:rPr>
          <w:rFonts w:eastAsia="微软雅黑"/>
          <w:b/>
          <w:i/>
          <w:szCs w:val="20"/>
          <w:lang w:val="en-GB"/>
        </w:rPr>
        <w:t xml:space="preserve">roposal </w:t>
      </w:r>
      <w:r>
        <w:rPr>
          <w:rFonts w:eastAsia="微软雅黑"/>
          <w:b/>
          <w:i/>
          <w:szCs w:val="20"/>
        </w:rPr>
        <w:t>2</w:t>
      </w:r>
      <w:r>
        <w:rPr>
          <w:rFonts w:eastAsia="微软雅黑"/>
          <w:b/>
          <w:i/>
          <w:szCs w:val="20"/>
          <w:lang w:val="en-GB"/>
        </w:rPr>
        <w:t>:</w:t>
      </w:r>
      <w:r>
        <w:rPr>
          <w:rFonts w:eastAsia="微软雅黑"/>
          <w:iCs/>
          <w:szCs w:val="20"/>
          <w:lang w:val="en-GB"/>
        </w:rPr>
        <w:t xml:space="preserve"> </w:t>
      </w:r>
      <w:r>
        <w:rPr>
          <w:rFonts w:eastAsia="微软雅黑"/>
          <w:i/>
          <w:szCs w:val="20"/>
        </w:rPr>
        <w:t>On Rel</w:t>
      </w:r>
      <w:r>
        <w:rPr>
          <w:rFonts w:hint="eastAsia" w:eastAsia="微软雅黑"/>
          <w:i/>
          <w:szCs w:val="20"/>
        </w:rPr>
        <w:t>-</w:t>
      </w:r>
      <w:r>
        <w:rPr>
          <w:rFonts w:eastAsia="微软雅黑"/>
          <w:i/>
          <w:szCs w:val="20"/>
        </w:rPr>
        <w:t>17 unified TCI framework,</w:t>
      </w:r>
    </w:p>
    <w:p>
      <w:pPr>
        <w:pStyle w:val="99"/>
        <w:numPr>
          <w:ilvl w:val="0"/>
          <w:numId w:val="8"/>
        </w:numPr>
        <w:snapToGrid w:val="0"/>
        <w:spacing w:before="60" w:beforeLines="25" w:after="60" w:afterLines="25" w:line="300" w:lineRule="auto"/>
        <w:ind w:left="400" w:firstLineChars="0"/>
        <w:jc w:val="both"/>
        <w:rPr>
          <w:rFonts w:ascii="Times" w:hAnsi="Times" w:eastAsia="宋体" w:cs="Times"/>
          <w:i/>
          <w:szCs w:val="20"/>
          <w:lang w:val="en-GB"/>
        </w:rPr>
      </w:pPr>
      <w:r>
        <w:rPr>
          <w:rFonts w:eastAsia="微软雅黑"/>
          <w:i/>
          <w:szCs w:val="20"/>
        </w:rPr>
        <w:t xml:space="preserve">The maximum number of </w:t>
      </w:r>
      <w:r>
        <w:rPr>
          <w:rFonts w:ascii="Times" w:hAnsi="Times" w:eastAsia="宋体" w:cs="Times"/>
          <w:i/>
          <w:iCs/>
          <w:szCs w:val="20"/>
        </w:rPr>
        <w:t>configured</w:t>
      </w:r>
      <w:r>
        <w:rPr>
          <w:rFonts w:eastAsia="微软雅黑"/>
          <w:i/>
          <w:szCs w:val="20"/>
        </w:rPr>
        <w:t xml:space="preserve"> TCI states (including joint TCI state, DL-only TCI state and UL-only TCI state) is 256</w:t>
      </w:r>
    </w:p>
    <w:p>
      <w:pPr>
        <w:pStyle w:val="99"/>
        <w:numPr>
          <w:ilvl w:val="0"/>
          <w:numId w:val="8"/>
        </w:numPr>
        <w:snapToGrid w:val="0"/>
        <w:spacing w:before="60" w:beforeLines="25" w:after="60" w:afterLines="25" w:line="300" w:lineRule="auto"/>
        <w:ind w:left="400" w:firstLineChars="0"/>
        <w:jc w:val="both"/>
        <w:rPr>
          <w:rFonts w:ascii="Times" w:hAnsi="Times" w:eastAsia="宋体" w:cs="Times"/>
          <w:i/>
          <w:szCs w:val="20"/>
          <w:lang w:val="en-GB"/>
        </w:rPr>
      </w:pPr>
      <w:r>
        <w:rPr>
          <w:rFonts w:ascii="Times" w:hAnsi="Times" w:eastAsia="宋体" w:cs="Times"/>
          <w:i/>
          <w:szCs w:val="20"/>
          <w:lang w:val="en-GB"/>
        </w:rPr>
        <w:t>The maximum number of activated TCI states (for both cases of  joint TCI as well as separate DL/UL TCI) can be 8</w:t>
      </w:r>
    </w:p>
    <w:p>
      <w:pPr>
        <w:pStyle w:val="99"/>
        <w:snapToGrid w:val="0"/>
        <w:spacing w:before="60" w:beforeLines="25" w:after="60" w:afterLines="25" w:line="300" w:lineRule="auto"/>
        <w:ind w:firstLine="0" w:firstLineChars="0"/>
        <w:jc w:val="both"/>
        <w:rPr>
          <w:rFonts w:ascii="Times" w:hAnsi="Times" w:eastAsia="宋体" w:cs="Times"/>
          <w:i/>
          <w:iCs/>
          <w:szCs w:val="20"/>
        </w:rPr>
      </w:pPr>
      <w:r>
        <w:rPr>
          <w:rFonts w:eastAsia="微软雅黑"/>
          <w:b/>
          <w:bCs/>
          <w:i/>
          <w:iCs/>
          <w:szCs w:val="20"/>
        </w:rPr>
        <w:t>Proposal</w:t>
      </w:r>
      <w:r>
        <w:rPr>
          <w:rFonts w:hint="eastAsia" w:eastAsia="微软雅黑"/>
          <w:b/>
          <w:bCs/>
          <w:i/>
          <w:iCs/>
          <w:szCs w:val="20"/>
        </w:rPr>
        <w:t xml:space="preserve"> 3</w:t>
      </w:r>
      <w:r>
        <w:rPr>
          <w:rFonts w:hint="eastAsia" w:eastAsia="微软雅黑"/>
          <w:i/>
          <w:iCs/>
          <w:szCs w:val="20"/>
        </w:rPr>
        <w:t xml:space="preserve">: </w:t>
      </w:r>
      <w:r>
        <w:rPr>
          <w:rFonts w:ascii="Times" w:hAnsi="Times" w:eastAsia="宋体" w:cs="Times"/>
          <w:i/>
          <w:iCs/>
          <w:szCs w:val="20"/>
        </w:rPr>
        <w:t>Regarding UE capability of “beam alignment”, no more additional event is further introduced except that the PL-RS is identical to the spatial relation RS in the UL or (if applicable) joint TCI state.</w:t>
      </w:r>
    </w:p>
    <w:p>
      <w:pPr>
        <w:snapToGrid w:val="0"/>
        <w:spacing w:before="60" w:beforeLines="25" w:after="120" w:afterLines="50" w:line="300" w:lineRule="auto"/>
        <w:jc w:val="both"/>
        <w:rPr>
          <w:rFonts w:eastAsia="微软雅黑"/>
          <w:i/>
          <w:szCs w:val="20"/>
        </w:rPr>
      </w:pPr>
      <w:r>
        <w:rPr>
          <w:rFonts w:eastAsia="微软雅黑"/>
          <w:b/>
          <w:bCs/>
          <w:i/>
          <w:iCs/>
          <w:szCs w:val="20"/>
        </w:rPr>
        <w:t>Proposal</w:t>
      </w:r>
      <w:r>
        <w:rPr>
          <w:rFonts w:hint="eastAsia" w:eastAsia="微软雅黑"/>
          <w:b/>
          <w:bCs/>
          <w:i/>
          <w:iCs/>
          <w:szCs w:val="20"/>
        </w:rPr>
        <w:t xml:space="preserve"> 4</w:t>
      </w:r>
      <w:r>
        <w:rPr>
          <w:rFonts w:eastAsia="微软雅黑"/>
          <w:i/>
          <w:iCs/>
          <w:szCs w:val="20"/>
        </w:rPr>
        <w:t xml:space="preserve">: </w:t>
      </w:r>
      <w:r>
        <w:rPr>
          <w:rFonts w:eastAsia="微软雅黑"/>
          <w:i/>
          <w:szCs w:val="20"/>
        </w:rPr>
        <w:t>On the setting of UL PC parameters except for PL-RS (P0, alpha, closed loop index) for Rel</w:t>
      </w:r>
      <w:r>
        <w:rPr>
          <w:rFonts w:hint="eastAsia" w:eastAsia="微软雅黑"/>
          <w:i/>
          <w:szCs w:val="20"/>
        </w:rPr>
        <w:t>-</w:t>
      </w:r>
      <w:r>
        <w:rPr>
          <w:rFonts w:eastAsia="微软雅黑"/>
          <w:i/>
          <w:szCs w:val="20"/>
        </w:rPr>
        <w:t>17 unified TCI framework,</w:t>
      </w:r>
    </w:p>
    <w:p>
      <w:pPr>
        <w:pStyle w:val="99"/>
        <w:numPr>
          <w:ilvl w:val="0"/>
          <w:numId w:val="8"/>
        </w:numPr>
        <w:snapToGrid w:val="0"/>
        <w:spacing w:before="60" w:beforeLines="25" w:after="60" w:afterLines="25" w:line="300" w:lineRule="auto"/>
        <w:ind w:left="400" w:firstLineChars="0"/>
        <w:jc w:val="both"/>
        <w:rPr>
          <w:rFonts w:eastAsia="微软雅黑"/>
          <w:i/>
          <w:iCs/>
          <w:szCs w:val="20"/>
        </w:rPr>
      </w:pPr>
      <w:r>
        <w:rPr>
          <w:rFonts w:ascii="Times" w:hAnsi="Times" w:eastAsia="宋体" w:cs="Times"/>
          <w:i/>
          <w:iCs/>
          <w:szCs w:val="20"/>
          <w:lang w:val="en-GB"/>
        </w:rPr>
        <w:t>Confirm</w:t>
      </w:r>
      <w:r>
        <w:rPr>
          <w:rFonts w:eastAsia="微软雅黑"/>
          <w:i/>
          <w:iCs/>
          <w:szCs w:val="20"/>
        </w:rPr>
        <w:t xml:space="preserve"> the following working assumption in RAN1#105-e: </w:t>
      </w:r>
    </w:p>
    <w:p>
      <w:pPr>
        <w:numPr>
          <w:ilvl w:val="1"/>
          <w:numId w:val="8"/>
        </w:numPr>
        <w:snapToGrid w:val="0"/>
        <w:spacing w:before="60" w:beforeLines="25" w:after="120" w:afterLines="50" w:line="300" w:lineRule="auto"/>
        <w:ind w:left="800" w:hanging="360"/>
        <w:jc w:val="both"/>
        <w:rPr>
          <w:rFonts w:ascii="Times" w:hAnsi="Times" w:eastAsia="宋体" w:cs="Times"/>
          <w:i/>
          <w:szCs w:val="20"/>
          <w:lang w:val="en-GB"/>
        </w:rPr>
      </w:pPr>
      <w:r>
        <w:rPr>
          <w:rFonts w:ascii="Times" w:hAnsi="Times" w:eastAsia="宋体" w:cs="Times"/>
          <w:i/>
          <w:iCs/>
        </w:rPr>
        <w:t>“</w:t>
      </w:r>
      <w:r>
        <w:rPr>
          <w:rFonts w:ascii="Times" w:hAnsi="Times" w:eastAsia="Batang" w:cs="Times"/>
          <w:i/>
          <w:iCs/>
          <w:lang w:val="en-GB" w:eastAsia="en-US"/>
        </w:rPr>
        <w:t>(Working Assumption) In this case, for each of the PUSCH and PUCCH, each of the activated UL or (if applicable) joint TCI states is associated with one of the settings.</w:t>
      </w:r>
      <w:r>
        <w:rPr>
          <w:rFonts w:ascii="Times" w:hAnsi="Times" w:eastAsia="宋体" w:cs="Times"/>
          <w:i/>
          <w:iCs/>
        </w:rPr>
        <w:t>”</w:t>
      </w:r>
    </w:p>
    <w:p>
      <w:pPr>
        <w:pStyle w:val="99"/>
        <w:numPr>
          <w:ilvl w:val="0"/>
          <w:numId w:val="8"/>
        </w:numPr>
        <w:snapToGrid w:val="0"/>
        <w:spacing w:before="60" w:beforeLines="25" w:after="60" w:afterLines="25" w:line="300" w:lineRule="auto"/>
        <w:ind w:left="400" w:firstLineChars="0"/>
        <w:jc w:val="both"/>
        <w:rPr>
          <w:rFonts w:eastAsia="微软雅黑"/>
          <w:i/>
          <w:iCs/>
          <w:szCs w:val="20"/>
        </w:rPr>
      </w:pPr>
      <w:r>
        <w:rPr>
          <w:rFonts w:eastAsia="微软雅黑"/>
          <w:i/>
          <w:szCs w:val="20"/>
        </w:rPr>
        <w:t xml:space="preserve">Above </w:t>
      </w:r>
      <w:r>
        <w:rPr>
          <w:rFonts w:eastAsia="微软雅黑"/>
          <w:i/>
          <w:iCs/>
          <w:szCs w:val="20"/>
        </w:rPr>
        <w:t>implies</w:t>
      </w:r>
      <w:r>
        <w:rPr>
          <w:rFonts w:eastAsia="微软雅黑"/>
          <w:i/>
          <w:szCs w:val="20"/>
        </w:rPr>
        <w:t xml:space="preserve"> that the association between a TCI state and one of the multiple settings, for each of the PUSCH, PUCCH, and/or SRS, is signaled via MAC-CE together with the MAC-CE-based TCI state activation</w:t>
      </w:r>
      <w:r>
        <w:rPr>
          <w:rFonts w:eastAsia="微软雅黑"/>
          <w:i/>
          <w:iCs/>
          <w:szCs w:val="20"/>
        </w:rPr>
        <w:t>.</w:t>
      </w:r>
    </w:p>
    <w:p>
      <w:pPr>
        <w:numPr>
          <w:ilvl w:val="1"/>
          <w:numId w:val="8"/>
        </w:numPr>
        <w:snapToGrid w:val="0"/>
        <w:spacing w:before="120" w:after="120" w:afterLines="50" w:line="300" w:lineRule="auto"/>
        <w:ind w:left="800"/>
        <w:jc w:val="both"/>
        <w:rPr>
          <w:rFonts w:eastAsia="微软雅黑"/>
          <w:i/>
          <w:iCs/>
          <w:szCs w:val="20"/>
        </w:rPr>
      </w:pPr>
      <w:r>
        <w:rPr>
          <w:rFonts w:eastAsia="微软雅黑"/>
          <w:i/>
          <w:szCs w:val="20"/>
        </w:rPr>
        <w:t xml:space="preserve">Note: the multiple settings of (P0, alpha, closed loop index) for PUSCH, PUCCH, and/or SRS are RRC </w:t>
      </w:r>
      <w:r>
        <w:rPr>
          <w:rFonts w:eastAsia="微软雅黑"/>
          <w:i/>
          <w:iCs/>
          <w:szCs w:val="20"/>
        </w:rPr>
        <w:t>configured</w:t>
      </w:r>
      <w:r>
        <w:rPr>
          <w:rFonts w:eastAsia="微软雅黑"/>
          <w:i/>
          <w:szCs w:val="20"/>
        </w:rPr>
        <w:t xml:space="preserve"> per BWP</w:t>
      </w:r>
    </w:p>
    <w:p>
      <w:pPr>
        <w:pStyle w:val="99"/>
        <w:snapToGrid w:val="0"/>
        <w:spacing w:before="60" w:beforeLines="25" w:after="60" w:afterLines="25" w:line="300" w:lineRule="auto"/>
        <w:ind w:firstLine="0" w:firstLineChars="0"/>
        <w:jc w:val="both"/>
        <w:rPr>
          <w:rFonts w:eastAsia="微软雅黑"/>
          <w:i/>
          <w:iCs/>
          <w:szCs w:val="20"/>
        </w:rPr>
      </w:pPr>
      <w:r>
        <w:rPr>
          <w:rFonts w:hint="eastAsia" w:eastAsia="微软雅黑"/>
          <w:b/>
          <w:bCs/>
          <w:i/>
          <w:iCs/>
          <w:szCs w:val="20"/>
        </w:rPr>
        <w:t>Proposal</w:t>
      </w:r>
      <w:r>
        <w:rPr>
          <w:rFonts w:eastAsia="微软雅黑"/>
          <w:b/>
          <w:bCs/>
          <w:i/>
          <w:iCs/>
          <w:szCs w:val="20"/>
        </w:rPr>
        <w:t xml:space="preserve"> </w:t>
      </w:r>
      <w:r>
        <w:rPr>
          <w:rFonts w:hint="eastAsia" w:eastAsia="微软雅黑"/>
          <w:b/>
          <w:bCs/>
          <w:i/>
          <w:iCs/>
          <w:szCs w:val="20"/>
        </w:rPr>
        <w:t>5:</w:t>
      </w:r>
      <w:r>
        <w:rPr>
          <w:rFonts w:eastAsia="微软雅黑"/>
          <w:b/>
          <w:bCs/>
          <w:i/>
          <w:iCs/>
          <w:szCs w:val="20"/>
        </w:rPr>
        <w:t xml:space="preserve"> </w:t>
      </w:r>
      <w:r>
        <w:rPr>
          <w:rFonts w:eastAsia="微软雅黑"/>
          <w:i/>
          <w:iCs/>
          <w:szCs w:val="20"/>
        </w:rPr>
        <w:t>On Rel</w:t>
      </w:r>
      <w:r>
        <w:rPr>
          <w:rFonts w:hint="eastAsia" w:eastAsia="微软雅黑"/>
          <w:i/>
          <w:iCs/>
          <w:szCs w:val="20"/>
        </w:rPr>
        <w:t>-</w:t>
      </w:r>
      <w:r>
        <w:rPr>
          <w:rFonts w:eastAsia="微软雅黑"/>
          <w:i/>
          <w:iCs/>
          <w:szCs w:val="20"/>
        </w:rPr>
        <w:t>17 unified TCI framework, regarding the common TCI state ID update and activation for CA, a list of CC(s) applied by the common TCI state ID, and the reference CC/BWP for the list are both explicitly configured.</w:t>
      </w:r>
    </w:p>
    <w:p>
      <w:pPr>
        <w:pStyle w:val="99"/>
        <w:numPr>
          <w:ilvl w:val="0"/>
          <w:numId w:val="8"/>
        </w:numPr>
        <w:snapToGrid w:val="0"/>
        <w:spacing w:before="60" w:beforeLines="25" w:after="60" w:afterLines="25" w:line="300" w:lineRule="auto"/>
        <w:ind w:left="358" w:hanging="358" w:hangingChars="179"/>
        <w:jc w:val="both"/>
        <w:rPr>
          <w:rFonts w:eastAsia="微软雅黑"/>
          <w:i/>
          <w:iCs/>
          <w:szCs w:val="20"/>
        </w:rPr>
      </w:pPr>
      <w:r>
        <w:rPr>
          <w:rFonts w:eastAsia="微软雅黑"/>
          <w:i/>
          <w:iCs/>
          <w:szCs w:val="20"/>
        </w:rPr>
        <w:t>Note that the list of CC(s) is used for determining applicable CC(s)/BWP(s) for all of the common RRC TCI pool, common MAC activated TCI pool, and common L1 indicated TCI state</w:t>
      </w:r>
      <w:r>
        <w:rPr>
          <w:rFonts w:hint="eastAsia" w:eastAsia="微软雅黑"/>
          <w:i/>
          <w:iCs/>
          <w:szCs w:val="20"/>
        </w:rPr>
        <w:t xml:space="preserve">. </w:t>
      </w:r>
    </w:p>
    <w:p>
      <w:pPr>
        <w:pStyle w:val="99"/>
        <w:snapToGrid w:val="0"/>
        <w:spacing w:before="60" w:beforeLines="25" w:after="60" w:afterLines="25" w:line="300" w:lineRule="auto"/>
        <w:ind w:firstLine="0" w:firstLineChars="0"/>
        <w:jc w:val="both"/>
        <w:rPr>
          <w:rFonts w:eastAsia="微软雅黑"/>
          <w:i/>
          <w:iCs/>
          <w:szCs w:val="20"/>
        </w:rPr>
      </w:pPr>
      <w:r>
        <w:rPr>
          <w:rFonts w:hint="eastAsia" w:eastAsia="微软雅黑"/>
          <w:b/>
          <w:bCs/>
          <w:i/>
          <w:iCs/>
          <w:szCs w:val="20"/>
        </w:rPr>
        <w:t>Proposal</w:t>
      </w:r>
      <w:r>
        <w:rPr>
          <w:rFonts w:eastAsia="微软雅黑"/>
          <w:b/>
          <w:bCs/>
          <w:i/>
          <w:iCs/>
          <w:szCs w:val="20"/>
        </w:rPr>
        <w:t xml:space="preserve"> </w:t>
      </w:r>
      <w:r>
        <w:rPr>
          <w:rFonts w:hint="eastAsia" w:eastAsia="微软雅黑"/>
          <w:b/>
          <w:bCs/>
          <w:i/>
          <w:iCs/>
          <w:szCs w:val="20"/>
        </w:rPr>
        <w:t>6:</w:t>
      </w:r>
      <w:r>
        <w:rPr>
          <w:rFonts w:eastAsia="微软雅黑"/>
          <w:b/>
          <w:bCs/>
          <w:i/>
          <w:iCs/>
          <w:szCs w:val="20"/>
        </w:rPr>
        <w:t xml:space="preserve"> </w:t>
      </w:r>
      <w:r>
        <w:rPr>
          <w:rFonts w:eastAsia="微软雅黑"/>
          <w:i/>
          <w:iCs/>
          <w:szCs w:val="20"/>
        </w:rPr>
        <w:t xml:space="preserve">Common RRC-level </w:t>
      </w:r>
      <w:r>
        <w:rPr>
          <w:rFonts w:hint="eastAsia" w:eastAsia="微软雅黑"/>
          <w:i/>
          <w:iCs/>
          <w:szCs w:val="20"/>
        </w:rPr>
        <w:t>PL-RS pool</w:t>
      </w:r>
      <w:r>
        <w:rPr>
          <w:rFonts w:eastAsia="微软雅黑"/>
          <w:i/>
          <w:iCs/>
          <w:szCs w:val="20"/>
        </w:rPr>
        <w:t xml:space="preserve"> can be shared with multi-BWP/CC that is analogous to sharing TCI state pool cross multi-BWP/CC.</w:t>
      </w:r>
    </w:p>
    <w:p>
      <w:pPr>
        <w:pStyle w:val="99"/>
        <w:numPr>
          <w:ilvl w:val="0"/>
          <w:numId w:val="8"/>
        </w:numPr>
        <w:snapToGrid w:val="0"/>
        <w:spacing w:before="60" w:beforeLines="25" w:after="60" w:afterLines="25" w:line="300" w:lineRule="auto"/>
        <w:ind w:left="358" w:hanging="358" w:hangingChars="179"/>
        <w:jc w:val="both"/>
        <w:rPr>
          <w:rFonts w:eastAsia="微软雅黑"/>
          <w:i/>
          <w:iCs/>
          <w:szCs w:val="20"/>
        </w:rPr>
      </w:pPr>
      <w:r>
        <w:rPr>
          <w:rFonts w:eastAsia="微软雅黑"/>
          <w:i/>
          <w:iCs/>
          <w:szCs w:val="20"/>
        </w:rPr>
        <w:t>RRC-configured PL-RS pool(s) can be absent in the PUSCH/PUCCH/SRS configuration for each BWP/CC, and replaced with a reference to RRC-configured PL-RS pool(s) in a reference BWP/CC.</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Signaling design for DCI based TCI state indication</w:t>
      </w:r>
    </w:p>
    <w:p>
      <w:pPr>
        <w:snapToGrid w:val="0"/>
        <w:spacing w:before="120" w:after="120" w:afterLines="50" w:line="300" w:lineRule="auto"/>
        <w:jc w:val="both"/>
      </w:pPr>
      <w:r>
        <w:rPr>
          <w:rFonts w:hint="eastAsia" w:eastAsia="微软雅黑"/>
          <w:b/>
          <w:bCs/>
          <w:i/>
          <w:iCs/>
          <w:szCs w:val="20"/>
        </w:rPr>
        <w:t>Proposal 7:</w:t>
      </w:r>
      <w:r>
        <w:rPr>
          <w:rFonts w:hint="eastAsia" w:eastAsia="微软雅黑"/>
          <w:i/>
          <w:iCs/>
          <w:szCs w:val="20"/>
        </w:rPr>
        <w:t xml:space="preserve"> Regarding application time of the TCI state indication for both of the DCI with or without DL assignment, the following aspects should be further </w:t>
      </w:r>
      <w:r>
        <w:rPr>
          <w:rFonts w:eastAsia="微软雅黑"/>
          <w:i/>
          <w:iCs/>
          <w:szCs w:val="20"/>
        </w:rPr>
        <w:t>supported</w:t>
      </w:r>
      <w:r>
        <w:rPr>
          <w:rFonts w:hint="eastAsia" w:eastAsia="微软雅黑"/>
          <w:i/>
          <w:iCs/>
          <w:szCs w:val="20"/>
        </w:rPr>
        <w:t xml:space="preserve">: </w:t>
      </w:r>
    </w:p>
    <w:p>
      <w:pPr>
        <w:pStyle w:val="99"/>
        <w:numPr>
          <w:ilvl w:val="0"/>
          <w:numId w:val="8"/>
        </w:numPr>
        <w:snapToGrid w:val="0"/>
        <w:spacing w:before="60" w:beforeLines="25" w:after="60" w:afterLines="25" w:line="300" w:lineRule="auto"/>
        <w:ind w:left="358" w:hanging="358" w:hangingChars="179"/>
        <w:jc w:val="both"/>
        <w:rPr>
          <w:rFonts w:eastAsia="微软雅黑" w:cs="Times"/>
          <w:bCs/>
          <w:i/>
          <w:iCs/>
          <w:szCs w:val="20"/>
        </w:rPr>
      </w:pPr>
      <w:r>
        <w:rPr>
          <w:rFonts w:eastAsia="宋体" w:cs="Times"/>
          <w:bCs/>
          <w:i/>
          <w:szCs w:val="20"/>
        </w:rPr>
        <w:t xml:space="preserve">Alt3: The first </w:t>
      </w:r>
      <w:r>
        <w:rPr>
          <w:rFonts w:eastAsia="微软雅黑" w:cs="Times"/>
          <w:bCs/>
          <w:i/>
          <w:iCs/>
          <w:szCs w:val="20"/>
        </w:rPr>
        <w:t>slot</w:t>
      </w:r>
      <w:r>
        <w:rPr>
          <w:rFonts w:eastAsia="宋体" w:cs="Times"/>
          <w:bCs/>
          <w:i/>
          <w:szCs w:val="20"/>
        </w:rPr>
        <w:t xml:space="preserve"> and the Y symbols are both determined on the UL carrier carrying the acknowledgment</w:t>
      </w:r>
      <w:r>
        <w:rPr>
          <w:rFonts w:hint="eastAsia" w:eastAsia="宋体" w:cs="Times"/>
          <w:bCs/>
          <w:i/>
          <w:szCs w:val="20"/>
        </w:rPr>
        <w:t xml:space="preserve"> </w:t>
      </w:r>
    </w:p>
    <w:p>
      <w:pPr>
        <w:pStyle w:val="109"/>
        <w:numPr>
          <w:ilvl w:val="1"/>
          <w:numId w:val="8"/>
        </w:numPr>
        <w:snapToGrid w:val="0"/>
        <w:spacing w:before="60" w:beforeLines="25" w:after="60" w:afterLines="25" w:line="300" w:lineRule="auto"/>
        <w:ind w:left="800" w:firstLineChars="0"/>
        <w:jc w:val="both"/>
        <w:rPr>
          <w:rFonts w:eastAsia="微软雅黑"/>
          <w:i/>
          <w:iCs/>
          <w:szCs w:val="20"/>
        </w:rPr>
      </w:pPr>
      <w:r>
        <w:rPr>
          <w:rFonts w:eastAsia="微软雅黑"/>
          <w:i/>
          <w:iCs/>
          <w:szCs w:val="20"/>
        </w:rPr>
        <w:t>The value(s) of application time Y can be associated with each of TDRA codepoints by RRC</w:t>
      </w:r>
      <w:r>
        <w:rPr>
          <w:rFonts w:eastAsia="宋体" w:cs="Times"/>
          <w:bCs/>
          <w:i/>
          <w:szCs w:val="20"/>
        </w:rPr>
        <w:t>, and t</w:t>
      </w:r>
      <w:r>
        <w:rPr>
          <w:rFonts w:hint="eastAsia" w:eastAsia="微软雅黑"/>
          <w:i/>
          <w:iCs/>
          <w:szCs w:val="20"/>
        </w:rPr>
        <w:t>he</w:t>
      </w:r>
      <w:r>
        <w:rPr>
          <w:rFonts w:eastAsia="微软雅黑"/>
          <w:i/>
          <w:iCs/>
          <w:szCs w:val="20"/>
        </w:rPr>
        <w:t>n</w:t>
      </w:r>
      <w:r>
        <w:rPr>
          <w:rFonts w:hint="eastAsia" w:eastAsia="微软雅黑"/>
          <w:i/>
          <w:iCs/>
          <w:szCs w:val="20"/>
        </w:rPr>
        <w:t xml:space="preserve"> application time</w:t>
      </w:r>
      <w:r>
        <w:rPr>
          <w:rFonts w:eastAsia="微软雅黑"/>
          <w:i/>
          <w:iCs/>
          <w:szCs w:val="20"/>
        </w:rPr>
        <w:t xml:space="preserve"> Y</w:t>
      </w:r>
      <w:r>
        <w:rPr>
          <w:rFonts w:hint="eastAsia" w:eastAsia="微软雅黑"/>
          <w:i/>
          <w:iCs/>
          <w:szCs w:val="20"/>
        </w:rPr>
        <w:t xml:space="preserve"> can be </w:t>
      </w:r>
      <w:r>
        <w:rPr>
          <w:rFonts w:eastAsia="微软雅黑"/>
          <w:i/>
          <w:iCs/>
          <w:szCs w:val="20"/>
        </w:rPr>
        <w:t>determined</w:t>
      </w:r>
      <w:r>
        <w:rPr>
          <w:rFonts w:hint="eastAsia" w:eastAsia="微软雅黑"/>
          <w:i/>
          <w:iCs/>
          <w:szCs w:val="20"/>
        </w:rPr>
        <w:t xml:space="preserve"> by TDRA field in DCI</w:t>
      </w:r>
      <w:r>
        <w:rPr>
          <w:rFonts w:eastAsia="微软雅黑"/>
          <w:i/>
          <w:iCs/>
          <w:szCs w:val="20"/>
        </w:rPr>
        <w:t>.</w:t>
      </w:r>
    </w:p>
    <w:p>
      <w:pPr>
        <w:pStyle w:val="109"/>
        <w:numPr>
          <w:ilvl w:val="0"/>
          <w:numId w:val="8"/>
        </w:numPr>
        <w:snapToGrid w:val="0"/>
        <w:spacing w:before="60" w:beforeLines="25" w:after="60" w:afterLines="25" w:line="300" w:lineRule="auto"/>
        <w:ind w:left="400" w:firstLineChars="0"/>
        <w:jc w:val="both"/>
        <w:rPr>
          <w:rFonts w:eastAsia="微软雅黑"/>
          <w:i/>
          <w:iCs/>
          <w:szCs w:val="20"/>
        </w:rPr>
      </w:pPr>
      <w:r>
        <w:rPr>
          <w:rFonts w:hint="eastAsia" w:eastAsia="微软雅黑"/>
          <w:i/>
          <w:iCs/>
          <w:szCs w:val="20"/>
        </w:rPr>
        <w:t>On Rel-17 unified TCI framework, Rel-15/16 default beam/power control mechanism for PDSCH/PUCCH/SRS is NOT supported</w:t>
      </w:r>
      <w:r>
        <w:rPr>
          <w:rFonts w:eastAsia="微软雅黑"/>
          <w:i/>
          <w:iCs/>
          <w:szCs w:val="20"/>
        </w:rPr>
        <w:t>.</w:t>
      </w:r>
      <w:r>
        <w:rPr>
          <w:rFonts w:hint="eastAsia" w:eastAsia="微软雅黑"/>
          <w:i/>
          <w:iCs/>
          <w:szCs w:val="20"/>
        </w:rPr>
        <w:t xml:space="preserve"> </w:t>
      </w:r>
    </w:p>
    <w:p>
      <w:pPr>
        <w:snapToGrid w:val="0"/>
        <w:spacing w:before="120" w:after="120" w:afterLines="50" w:line="300" w:lineRule="auto"/>
        <w:jc w:val="both"/>
      </w:pPr>
      <w:r>
        <w:rPr>
          <w:rFonts w:hint="eastAsia" w:eastAsia="微软雅黑"/>
          <w:b/>
          <w:bCs/>
          <w:i/>
          <w:iCs/>
          <w:szCs w:val="20"/>
        </w:rPr>
        <w:t>Proposal 8:</w:t>
      </w:r>
      <w:r>
        <w:rPr>
          <w:rFonts w:hint="eastAsia" w:eastAsia="微软雅黑"/>
          <w:i/>
          <w:iCs/>
          <w:szCs w:val="20"/>
        </w:rPr>
        <w:t xml:space="preserve"> Regarding TCI indication </w:t>
      </w:r>
      <w:r>
        <w:rPr>
          <w:rFonts w:eastAsia="微软雅黑"/>
          <w:i/>
          <w:iCs/>
          <w:szCs w:val="20"/>
        </w:rPr>
        <w:t xml:space="preserve">by </w:t>
      </w:r>
      <w:r>
        <w:rPr>
          <w:rFonts w:hint="eastAsia" w:eastAsia="微软雅黑"/>
          <w:i/>
          <w:iCs/>
          <w:szCs w:val="20"/>
        </w:rPr>
        <w:t>DCI withou</w:t>
      </w:r>
      <w:r>
        <w:rPr>
          <w:rFonts w:eastAsia="微软雅黑"/>
          <w:i/>
          <w:iCs/>
          <w:szCs w:val="20"/>
        </w:rPr>
        <w:t xml:space="preserve">t </w:t>
      </w:r>
      <w:r>
        <w:rPr>
          <w:rFonts w:hint="eastAsia" w:eastAsia="微软雅黑"/>
          <w:i/>
          <w:iCs/>
          <w:szCs w:val="20"/>
        </w:rPr>
        <w:t>DL assignment,</w:t>
      </w:r>
      <w:r>
        <w:rPr>
          <w:rFonts w:eastAsia="微软雅黑"/>
          <w:i/>
          <w:iCs/>
          <w:szCs w:val="20"/>
        </w:rPr>
        <w:t xml:space="preserve"> for type-1 HARQ-ACK codebook determination,</w:t>
      </w:r>
      <w:r>
        <w:rPr>
          <w:rFonts w:hint="eastAsia" w:eastAsia="微软雅黑"/>
          <w:i/>
          <w:iCs/>
          <w:szCs w:val="20"/>
        </w:rPr>
        <w:t xml:space="preserve"> </w:t>
      </w:r>
      <w:r>
        <w:rPr>
          <w:rFonts w:eastAsia="微软雅黑"/>
          <w:i/>
          <w:iCs/>
          <w:szCs w:val="20"/>
        </w:rPr>
        <w:t>virtual PDSCH is assumed in the same slot of the DCI by UE.</w:t>
      </w:r>
      <w:r>
        <w:rPr>
          <w:rFonts w:hint="eastAsia" w:eastAsia="微软雅黑"/>
          <w:i/>
          <w:iCs/>
          <w:szCs w:val="20"/>
        </w:rPr>
        <w:t xml:space="preserve"> </w:t>
      </w:r>
    </w:p>
    <w:p>
      <w:pPr>
        <w:snapToGrid w:val="0"/>
        <w:spacing w:before="120" w:after="120" w:afterLines="50" w:line="300" w:lineRule="auto"/>
        <w:jc w:val="both"/>
        <w:rPr>
          <w:rFonts w:eastAsia="微软雅黑"/>
          <w:i/>
          <w:iCs/>
          <w:szCs w:val="20"/>
        </w:rPr>
      </w:pPr>
      <w:r>
        <w:rPr>
          <w:rFonts w:eastAsia="微软雅黑"/>
          <w:b/>
          <w:bCs/>
          <w:i/>
          <w:iCs/>
          <w:szCs w:val="20"/>
        </w:rPr>
        <w:t xml:space="preserve">Proposal </w:t>
      </w:r>
      <w:r>
        <w:rPr>
          <w:rFonts w:hint="eastAsia" w:eastAsia="微软雅黑"/>
          <w:b/>
          <w:bCs/>
          <w:i/>
          <w:iCs/>
          <w:szCs w:val="20"/>
        </w:rPr>
        <w:t>9</w:t>
      </w:r>
      <w:r>
        <w:rPr>
          <w:rFonts w:eastAsia="微软雅黑"/>
          <w:b/>
          <w:bCs/>
          <w:i/>
          <w:iCs/>
          <w:szCs w:val="20"/>
        </w:rPr>
        <w:t>:</w:t>
      </w:r>
      <w:r>
        <w:rPr>
          <w:rFonts w:eastAsia="微软雅黑"/>
          <w:i/>
          <w:iCs/>
          <w:szCs w:val="20"/>
        </w:rPr>
        <w:t xml:space="preserve"> </w:t>
      </w:r>
      <w:r>
        <w:rPr>
          <w:rFonts w:hint="eastAsia" w:eastAsia="微软雅黑"/>
          <w:i/>
          <w:iCs/>
          <w:szCs w:val="20"/>
        </w:rPr>
        <w:t xml:space="preserve">Regarding PUSCH </w:t>
      </w:r>
      <w:r>
        <w:rPr>
          <w:rFonts w:eastAsia="微软雅黑"/>
          <w:i/>
          <w:iCs/>
          <w:szCs w:val="20"/>
        </w:rPr>
        <w:t>scheduled by DCI format 0_1/2 or with a configured grant</w:t>
      </w:r>
      <w:r>
        <w:rPr>
          <w:rFonts w:hint="eastAsia" w:eastAsia="微软雅黑"/>
          <w:i/>
          <w:iCs/>
          <w:szCs w:val="20"/>
        </w:rPr>
        <w:t xml:space="preserve">, </w:t>
      </w:r>
    </w:p>
    <w:p>
      <w:pPr>
        <w:pStyle w:val="111"/>
        <w:numPr>
          <w:ilvl w:val="0"/>
          <w:numId w:val="8"/>
        </w:numPr>
        <w:overflowPunct w:val="0"/>
        <w:autoSpaceDE w:val="0"/>
        <w:autoSpaceDN w:val="0"/>
        <w:adjustRightInd w:val="0"/>
        <w:snapToGrid w:val="0"/>
        <w:spacing w:before="120" w:beforeLines="50" w:after="120" w:afterLines="50" w:line="300" w:lineRule="auto"/>
        <w:ind w:left="400" w:firstLineChars="0"/>
        <w:jc w:val="both"/>
        <w:textAlignment w:val="baseline"/>
      </w:pPr>
      <w:r>
        <w:rPr>
          <w:rFonts w:eastAsia="微软雅黑"/>
          <w:i/>
          <w:iCs/>
          <w:szCs w:val="20"/>
        </w:rPr>
        <w:t>I</w:t>
      </w:r>
      <w:r>
        <w:rPr>
          <w:rFonts w:hint="eastAsia" w:eastAsia="微软雅黑"/>
          <w:i/>
          <w:iCs/>
          <w:szCs w:val="20"/>
        </w:rPr>
        <w:t xml:space="preserve">f the number of </w:t>
      </w:r>
      <w:r>
        <w:rPr>
          <w:rFonts w:eastAsia="微软雅黑"/>
          <w:i/>
          <w:iCs/>
          <w:szCs w:val="20"/>
        </w:rPr>
        <w:t xml:space="preserve">the corresponding </w:t>
      </w:r>
      <w:r>
        <w:rPr>
          <w:rFonts w:hint="eastAsia" w:eastAsia="微软雅黑"/>
          <w:i/>
          <w:iCs/>
          <w:szCs w:val="20"/>
        </w:rPr>
        <w:t>layer is 1,</w:t>
      </w:r>
      <w:r>
        <w:rPr>
          <w:rFonts w:eastAsia="微软雅黑"/>
          <w:i/>
          <w:iCs/>
          <w:szCs w:val="20"/>
        </w:rPr>
        <w:t xml:space="preserve"> </w:t>
      </w:r>
      <w:r>
        <w:rPr>
          <w:rFonts w:eastAsia="宋体"/>
          <w:i/>
          <w:iCs/>
          <w:szCs w:val="20"/>
        </w:rPr>
        <w:t>the same TCI-update application timeline as for other types of target transmissions, such as PDCCH, PDSCH, PUCCH, etc. are used, regardless of most recent SRS transmission.</w:t>
      </w:r>
    </w:p>
    <w:p>
      <w:pPr>
        <w:snapToGrid w:val="0"/>
        <w:spacing w:before="120" w:after="120" w:afterLines="50" w:line="300" w:lineRule="auto"/>
        <w:jc w:val="both"/>
        <w:rPr>
          <w:rFonts w:eastAsia="微软雅黑"/>
          <w:i/>
          <w:iCs/>
          <w:szCs w:val="20"/>
        </w:rPr>
      </w:pPr>
      <w:r>
        <w:rPr>
          <w:rFonts w:eastAsia="微软雅黑"/>
          <w:b/>
          <w:bCs/>
          <w:i/>
          <w:iCs/>
          <w:szCs w:val="20"/>
        </w:rPr>
        <w:t>Proposal 1</w:t>
      </w:r>
      <w:r>
        <w:rPr>
          <w:rFonts w:hint="eastAsia" w:eastAsia="微软雅黑"/>
          <w:b/>
          <w:bCs/>
          <w:i/>
          <w:iCs/>
          <w:szCs w:val="20"/>
        </w:rPr>
        <w:t>0</w:t>
      </w:r>
      <w:r>
        <w:rPr>
          <w:rFonts w:eastAsia="微软雅黑"/>
          <w:b/>
          <w:bCs/>
          <w:i/>
          <w:iCs/>
          <w:szCs w:val="20"/>
        </w:rPr>
        <w:t>:</w:t>
      </w:r>
      <w:r>
        <w:rPr>
          <w:rFonts w:eastAsia="微软雅黑"/>
          <w:i/>
          <w:iCs/>
          <w:szCs w:val="20"/>
        </w:rPr>
        <w:t xml:space="preserve"> The associated-CSI-RS of non codebook AP-SRS resource set can be determined according to the indicated Rel-17 joint TCI state.</w:t>
      </w:r>
      <w:r>
        <w:rPr>
          <w:rFonts w:hint="eastAsia" w:eastAsia="微软雅黑"/>
          <w:i/>
          <w:iCs/>
          <w:szCs w:val="20"/>
        </w:rPr>
        <w:t xml:space="preserve"> </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L1/L2-centric inter-cell mobility</w:t>
      </w:r>
    </w:p>
    <w:p>
      <w:pPr>
        <w:snapToGrid w:val="0"/>
        <w:spacing w:before="120" w:after="120" w:afterLines="50" w:line="300" w:lineRule="auto"/>
        <w:jc w:val="both"/>
        <w:rPr>
          <w:rFonts w:eastAsia="微软雅黑"/>
          <w:i/>
          <w:iCs/>
          <w:szCs w:val="20"/>
        </w:rPr>
      </w:pPr>
      <w:r>
        <w:rPr>
          <w:rFonts w:eastAsia="微软雅黑"/>
          <w:b/>
          <w:bCs/>
          <w:i/>
          <w:iCs/>
          <w:szCs w:val="20"/>
        </w:rPr>
        <w:t>Proposal 11:</w:t>
      </w:r>
      <w:r>
        <w:rPr>
          <w:rFonts w:eastAsia="微软雅黑"/>
          <w:i/>
          <w:iCs/>
          <w:szCs w:val="20"/>
        </w:rPr>
        <w:t xml:space="preserve"> For L1-RSRP measurement for semi-persistent and aperiodic reporting in L1/L2-centric inter-cell mobility and inter-cell mTRP, the measurement of non-serving cell SSB(s) can be activated/deactivated by MAC-CE</w:t>
      </w:r>
    </w:p>
    <w:p>
      <w:pPr>
        <w:pStyle w:val="111"/>
        <w:numPr>
          <w:ilvl w:val="0"/>
          <w:numId w:val="8"/>
        </w:numPr>
        <w:snapToGrid w:val="0"/>
        <w:spacing w:before="120" w:after="120" w:afterLines="50" w:line="300" w:lineRule="auto"/>
        <w:ind w:left="400" w:firstLineChars="0"/>
        <w:jc w:val="both"/>
        <w:rPr>
          <w:rFonts w:eastAsia="微软雅黑"/>
          <w:i/>
          <w:iCs/>
          <w:szCs w:val="20"/>
        </w:rPr>
      </w:pPr>
      <w:r>
        <w:rPr>
          <w:rFonts w:eastAsia="微软雅黑"/>
          <w:i/>
          <w:iCs/>
          <w:szCs w:val="20"/>
        </w:rPr>
        <w:t>Regarding semi-persistent reporting, non-serving cell information (rather than TCI state in the legacy MAC-CE for SP-CSI-RS activation) can be activated by MAC CE for each SSB resource in a RRC configured SSB set.</w:t>
      </w:r>
    </w:p>
    <w:p>
      <w:pPr>
        <w:pStyle w:val="111"/>
        <w:numPr>
          <w:ilvl w:val="0"/>
          <w:numId w:val="8"/>
        </w:numPr>
        <w:snapToGrid w:val="0"/>
        <w:spacing w:before="120" w:after="120" w:afterLines="50" w:line="300" w:lineRule="auto"/>
        <w:ind w:left="400" w:firstLineChars="0"/>
        <w:jc w:val="both"/>
        <w:rPr>
          <w:rFonts w:eastAsia="微软雅黑"/>
          <w:i/>
          <w:iCs/>
          <w:szCs w:val="20"/>
        </w:rPr>
      </w:pPr>
      <w:r>
        <w:rPr>
          <w:rFonts w:eastAsia="微软雅黑"/>
          <w:i/>
          <w:iCs/>
          <w:szCs w:val="20"/>
        </w:rPr>
        <w:t xml:space="preserve">Regarding aperiodic reporting, </w:t>
      </w:r>
      <w:r>
        <w:rPr>
          <w:rFonts w:hint="eastAsia" w:eastAsia="微软雅黑"/>
          <w:i/>
          <w:iCs/>
          <w:szCs w:val="20"/>
        </w:rPr>
        <w:t xml:space="preserve">aperiodic CSI-RS in </w:t>
      </w:r>
      <w:r>
        <w:rPr>
          <w:rFonts w:eastAsia="微软雅黑"/>
          <w:i/>
          <w:iCs/>
          <w:szCs w:val="20"/>
        </w:rPr>
        <w:t>a</w:t>
      </w:r>
      <w:r>
        <w:rPr>
          <w:rFonts w:hint="eastAsia" w:eastAsia="微软雅黑"/>
          <w:i/>
          <w:iCs/>
          <w:szCs w:val="20"/>
        </w:rPr>
        <w:t xml:space="preserve"> trigger state can be </w:t>
      </w:r>
      <w:r>
        <w:rPr>
          <w:rFonts w:eastAsia="微软雅黑"/>
          <w:i/>
          <w:iCs/>
          <w:szCs w:val="20"/>
        </w:rPr>
        <w:t xml:space="preserve">associated with non-serving cell information in RRC (rather than being configured per aperiodic CSI-RS resource), and then the legacy MAC-CE for activating AP-CSI triggering sate is reused for dynamically enabling the measurement. </w:t>
      </w:r>
    </w:p>
    <w:p>
      <w:pPr>
        <w:pStyle w:val="111"/>
        <w:numPr>
          <w:ilvl w:val="1"/>
          <w:numId w:val="8"/>
        </w:numPr>
        <w:snapToGrid w:val="0"/>
        <w:spacing w:before="120" w:after="120" w:afterLines="50" w:line="300" w:lineRule="auto"/>
        <w:ind w:left="800" w:firstLineChars="0"/>
        <w:jc w:val="both"/>
        <w:rPr>
          <w:rFonts w:eastAsia="微软雅黑"/>
          <w:i/>
          <w:iCs/>
          <w:szCs w:val="20"/>
        </w:rPr>
      </w:pPr>
      <w:r>
        <w:rPr>
          <w:rFonts w:eastAsia="微软雅黑"/>
          <w:i/>
          <w:iCs/>
          <w:szCs w:val="20"/>
        </w:rPr>
        <w:t xml:space="preserve">Note that, compared with Rel-15/16, the legacy MAC-CE should be always used, regardless whether the number of RRC candidate triggering states is greater than the maximum number of candidate </w:t>
      </w:r>
      <w:r>
        <w:rPr>
          <w:rFonts w:hint="eastAsia" w:eastAsia="微软雅黑"/>
          <w:i/>
          <w:iCs/>
          <w:szCs w:val="20"/>
        </w:rPr>
        <w:t>codepoint</w:t>
      </w:r>
      <w:r>
        <w:rPr>
          <w:rFonts w:eastAsia="微软雅黑"/>
          <w:i/>
          <w:iCs/>
          <w:szCs w:val="20"/>
        </w:rPr>
        <w:t>s</w:t>
      </w:r>
      <w:r>
        <w:rPr>
          <w:rFonts w:hint="eastAsia" w:eastAsia="微软雅黑"/>
          <w:i/>
          <w:iCs/>
          <w:szCs w:val="20"/>
        </w:rPr>
        <w:t xml:space="preserve"> of CSI request field</w:t>
      </w:r>
      <w:r>
        <w:rPr>
          <w:rFonts w:eastAsia="微软雅黑"/>
          <w:i/>
          <w:iCs/>
          <w:szCs w:val="20"/>
        </w:rPr>
        <w:t xml:space="preserve"> in DCI.</w:t>
      </w:r>
    </w:p>
    <w:p>
      <w:pPr>
        <w:pStyle w:val="111"/>
        <w:numPr>
          <w:ilvl w:val="0"/>
          <w:numId w:val="8"/>
        </w:numPr>
        <w:snapToGrid w:val="0"/>
        <w:spacing w:before="120" w:after="120" w:afterLines="50" w:line="300" w:lineRule="auto"/>
        <w:ind w:left="400" w:firstLineChars="0"/>
        <w:jc w:val="both"/>
        <w:rPr>
          <w:rFonts w:eastAsia="微软雅黑"/>
          <w:i/>
          <w:iCs/>
          <w:szCs w:val="20"/>
        </w:rPr>
      </w:pPr>
      <w:r>
        <w:rPr>
          <w:rFonts w:eastAsia="微软雅黑"/>
          <w:i/>
          <w:iCs/>
          <w:szCs w:val="20"/>
        </w:rPr>
        <w:t xml:space="preserve">PDSCH rate matching and </w:t>
      </w:r>
      <w:r>
        <w:rPr>
          <w:rFonts w:hint="eastAsia" w:eastAsia="微软雅黑"/>
          <w:i/>
          <w:iCs/>
          <w:szCs w:val="20"/>
        </w:rPr>
        <w:t xml:space="preserve">available </w:t>
      </w:r>
      <w:r>
        <w:rPr>
          <w:rFonts w:eastAsia="微软雅黑"/>
          <w:i/>
          <w:iCs/>
          <w:szCs w:val="20"/>
        </w:rPr>
        <w:t>uplink transmission resources should be determined according to activated SSB of neighboring cell.</w:t>
      </w:r>
    </w:p>
    <w:p>
      <w:pPr>
        <w:pStyle w:val="111"/>
        <w:numPr>
          <w:ilvl w:val="0"/>
          <w:numId w:val="8"/>
        </w:numPr>
        <w:snapToGrid w:val="0"/>
        <w:spacing w:before="120" w:after="120" w:afterLines="50" w:line="300" w:lineRule="auto"/>
        <w:ind w:left="400" w:firstLineChars="0"/>
        <w:jc w:val="both"/>
        <w:rPr>
          <w:rFonts w:eastAsia="微软雅黑"/>
          <w:i/>
          <w:iCs/>
          <w:szCs w:val="20"/>
        </w:rPr>
      </w:pPr>
      <w:r>
        <w:rPr>
          <w:rFonts w:hint="eastAsia" w:eastAsia="微软雅黑"/>
          <w:i/>
          <w:iCs/>
          <w:szCs w:val="20"/>
        </w:rPr>
        <w:t xml:space="preserve">After SSB </w:t>
      </w:r>
      <w:r>
        <w:rPr>
          <w:rFonts w:eastAsia="微软雅黑"/>
          <w:i/>
          <w:iCs/>
          <w:szCs w:val="20"/>
        </w:rPr>
        <w:t>with</w:t>
      </w:r>
      <w:r>
        <w:rPr>
          <w:rFonts w:hint="eastAsia" w:eastAsia="微软雅黑"/>
          <w:i/>
          <w:iCs/>
          <w:szCs w:val="20"/>
        </w:rPr>
        <w:t xml:space="preserve"> </w:t>
      </w:r>
      <w:r>
        <w:rPr>
          <w:rFonts w:eastAsia="微软雅黑"/>
          <w:i/>
          <w:iCs/>
          <w:szCs w:val="20"/>
        </w:rPr>
        <w:t xml:space="preserve">different </w:t>
      </w:r>
      <w:r>
        <w:rPr>
          <w:rFonts w:hint="eastAsia" w:eastAsia="微软雅黑"/>
          <w:i/>
          <w:iCs/>
          <w:szCs w:val="20"/>
        </w:rPr>
        <w:t>PCI</w:t>
      </w:r>
      <w:r>
        <w:rPr>
          <w:rFonts w:eastAsia="微软雅黑"/>
          <w:i/>
          <w:iCs/>
          <w:szCs w:val="20"/>
        </w:rPr>
        <w:t xml:space="preserve"> from serving cell</w:t>
      </w:r>
      <w:r>
        <w:rPr>
          <w:rFonts w:hint="eastAsia" w:eastAsia="微软雅黑"/>
          <w:i/>
          <w:iCs/>
          <w:szCs w:val="20"/>
        </w:rPr>
        <w:t xml:space="preserve"> is activated, the SSB can be measured according to </w:t>
      </w:r>
      <w:r>
        <w:rPr>
          <w:rFonts w:eastAsia="微软雅黑"/>
          <w:i/>
          <w:iCs/>
          <w:szCs w:val="20"/>
        </w:rPr>
        <w:t xml:space="preserve">non-serving cell information (i.e., </w:t>
      </w:r>
      <w:r>
        <w:rPr>
          <w:rFonts w:hint="eastAsia" w:eastAsia="微软雅黑"/>
          <w:i/>
          <w:iCs/>
          <w:szCs w:val="20"/>
        </w:rPr>
        <w:t>SSB time domain pattern and periodicity</w:t>
      </w:r>
      <w:r>
        <w:rPr>
          <w:rFonts w:eastAsia="微软雅黑"/>
          <w:i/>
          <w:iCs/>
          <w:szCs w:val="20"/>
        </w:rPr>
        <w:t xml:space="preserve">) </w:t>
      </w:r>
      <w:r>
        <w:rPr>
          <w:rFonts w:hint="eastAsia" w:eastAsia="微软雅黑"/>
          <w:i/>
          <w:iCs/>
          <w:szCs w:val="20"/>
        </w:rPr>
        <w:t>without restriction of SMTC</w:t>
      </w:r>
      <w:r>
        <w:rPr>
          <w:rFonts w:eastAsia="微软雅黑"/>
          <w:i/>
          <w:iCs/>
          <w:szCs w:val="20"/>
        </w:rPr>
        <w:t>; otherwise, the SSB only can be measured in SMTC</w:t>
      </w:r>
      <w:r>
        <w:rPr>
          <w:rFonts w:hint="eastAsia" w:eastAsia="微软雅黑"/>
          <w:i/>
          <w:iCs/>
          <w:szCs w:val="20"/>
        </w:rPr>
        <w:t>.</w:t>
      </w:r>
    </w:p>
    <w:p>
      <w:pPr>
        <w:pStyle w:val="109"/>
        <w:numPr>
          <w:ilvl w:val="255"/>
          <w:numId w:val="0"/>
        </w:numPr>
        <w:snapToGrid w:val="0"/>
        <w:spacing w:before="120" w:after="120" w:afterLines="50" w:line="300" w:lineRule="auto"/>
        <w:jc w:val="both"/>
        <w:rPr>
          <w:rFonts w:eastAsia="宋体"/>
          <w:i/>
        </w:rPr>
      </w:pPr>
      <w:r>
        <w:rPr>
          <w:rFonts w:hint="eastAsia"/>
          <w:b/>
          <w:bCs/>
          <w:i/>
          <w:iCs/>
        </w:rPr>
        <w:t xml:space="preserve">Proposal </w:t>
      </w:r>
      <w:r>
        <w:rPr>
          <w:rFonts w:hint="eastAsia" w:eastAsia="宋体"/>
          <w:b/>
          <w:bCs/>
          <w:i/>
          <w:iCs/>
        </w:rPr>
        <w:t>1</w:t>
      </w:r>
      <w:r>
        <w:rPr>
          <w:rFonts w:eastAsia="宋体"/>
          <w:b/>
          <w:bCs/>
          <w:i/>
          <w:iCs/>
        </w:rPr>
        <w:t>2</w:t>
      </w:r>
      <w:r>
        <w:rPr>
          <w:rFonts w:hint="eastAsia"/>
          <w:b/>
          <w:bCs/>
          <w:i/>
          <w:iCs/>
        </w:rPr>
        <w:t>:</w:t>
      </w:r>
      <w:r>
        <w:rPr>
          <w:b/>
          <w:bCs/>
          <w:i/>
          <w:iCs/>
        </w:rPr>
        <w:t xml:space="preserve"> </w:t>
      </w:r>
      <w:r>
        <w:rPr>
          <w:rFonts w:eastAsia="微软雅黑"/>
          <w:i/>
          <w:szCs w:val="20"/>
        </w:rPr>
        <w:t>Support MAC CE based event-driven beam reporting for inter-cell beam management and inter-cell mTRP</w:t>
      </w:r>
      <w:r>
        <w:rPr>
          <w:rFonts w:eastAsia="宋体"/>
          <w:i/>
        </w:rPr>
        <w:t>.</w:t>
      </w:r>
    </w:p>
    <w:p>
      <w:pPr>
        <w:pStyle w:val="109"/>
        <w:numPr>
          <w:ilvl w:val="255"/>
          <w:numId w:val="0"/>
        </w:numPr>
        <w:snapToGrid w:val="0"/>
        <w:spacing w:before="120" w:after="120" w:afterLines="50" w:line="300" w:lineRule="auto"/>
        <w:jc w:val="both"/>
        <w:rPr>
          <w:rFonts w:eastAsia="宋体"/>
        </w:rPr>
      </w:pPr>
      <w:r>
        <w:rPr>
          <w:rFonts w:hint="eastAsia"/>
          <w:b/>
          <w:bCs/>
          <w:i/>
          <w:iCs/>
        </w:rPr>
        <w:t xml:space="preserve">Proposal </w:t>
      </w:r>
      <w:r>
        <w:rPr>
          <w:rFonts w:hint="eastAsia" w:eastAsia="宋体"/>
          <w:b/>
          <w:bCs/>
          <w:i/>
          <w:iCs/>
        </w:rPr>
        <w:t>1</w:t>
      </w:r>
      <w:r>
        <w:rPr>
          <w:rFonts w:eastAsia="宋体"/>
          <w:b/>
          <w:bCs/>
          <w:i/>
          <w:iCs/>
        </w:rPr>
        <w:t>3</w:t>
      </w:r>
      <w:r>
        <w:rPr>
          <w:rFonts w:hint="eastAsia"/>
          <w:b/>
          <w:bCs/>
          <w:i/>
          <w:iCs/>
        </w:rPr>
        <w:t>:</w:t>
      </w:r>
      <w:r>
        <w:rPr>
          <w:b/>
          <w:bCs/>
          <w:i/>
          <w:iCs/>
        </w:rPr>
        <w:t xml:space="preserve"> </w:t>
      </w:r>
      <w:r>
        <w:rPr>
          <w:rFonts w:eastAsia="微软雅黑"/>
          <w:i/>
          <w:szCs w:val="20"/>
        </w:rPr>
        <w:t xml:space="preserve">Differential L1-RSRP should be performed per non-serving cell/serving cell, where beam(s) associated with a non-serving cell can be mixed with that associated with serving-cell in a reporting instance. </w:t>
      </w:r>
    </w:p>
    <w:p>
      <w:pPr>
        <w:pStyle w:val="109"/>
        <w:snapToGrid w:val="0"/>
        <w:spacing w:before="120" w:after="120" w:afterLines="50" w:line="300" w:lineRule="auto"/>
        <w:ind w:firstLine="0" w:firstLineChars="0"/>
        <w:jc w:val="both"/>
        <w:rPr>
          <w:rFonts w:eastAsia="微软雅黑"/>
          <w:i/>
          <w:szCs w:val="20"/>
        </w:rPr>
      </w:pPr>
      <w:r>
        <w:rPr>
          <w:rFonts w:hint="eastAsia"/>
          <w:b/>
          <w:bCs/>
          <w:i/>
          <w:iCs/>
        </w:rPr>
        <w:t xml:space="preserve">Proposal </w:t>
      </w:r>
      <w:r>
        <w:rPr>
          <w:rFonts w:hint="eastAsia" w:eastAsia="宋体"/>
          <w:b/>
          <w:bCs/>
          <w:i/>
          <w:iCs/>
        </w:rPr>
        <w:t>1</w:t>
      </w:r>
      <w:r>
        <w:rPr>
          <w:rFonts w:eastAsia="宋体"/>
          <w:b/>
          <w:bCs/>
          <w:i/>
          <w:iCs/>
        </w:rPr>
        <w:t>4</w:t>
      </w:r>
      <w:r>
        <w:rPr>
          <w:rFonts w:hint="eastAsia"/>
          <w:b/>
          <w:bCs/>
          <w:i/>
          <w:iCs/>
        </w:rPr>
        <w:t>:</w:t>
      </w:r>
      <w:r>
        <w:rPr>
          <w:rFonts w:eastAsia="微软雅黑"/>
          <w:i/>
          <w:szCs w:val="20"/>
        </w:rPr>
        <w:t xml:space="preserve"> For L1/L2 reporting for non-serving cell measurement, gNB can select for a CSI reporting configuration a report quantity from ‘L1-RSRP’ and ‘difference between receiving L1-RSRP and transmit power’ (e.g., like coupling loss).</w:t>
      </w:r>
      <w:r>
        <w:rPr>
          <w:rFonts w:hint="eastAsia" w:eastAsia="微软雅黑"/>
          <w:i/>
          <w:szCs w:val="20"/>
        </w:rPr>
        <w:t xml:space="preserve"> </w:t>
      </w:r>
    </w:p>
    <w:p>
      <w:pPr>
        <w:snapToGrid w:val="0"/>
        <w:spacing w:before="60" w:beforeLines="25" w:after="60" w:afterLines="25" w:line="300" w:lineRule="auto"/>
        <w:jc w:val="both"/>
        <w:rPr>
          <w:rFonts w:eastAsia="微软雅黑"/>
          <w:i/>
          <w:iCs/>
          <w:szCs w:val="20"/>
        </w:rPr>
      </w:pPr>
      <w:r>
        <w:rPr>
          <w:rFonts w:hint="eastAsia" w:eastAsia="微软雅黑"/>
          <w:b/>
          <w:bCs/>
          <w:i/>
          <w:iCs/>
          <w:szCs w:val="20"/>
        </w:rPr>
        <w:t>Proposal 1</w:t>
      </w:r>
      <w:r>
        <w:rPr>
          <w:rFonts w:eastAsia="微软雅黑"/>
          <w:b/>
          <w:bCs/>
          <w:i/>
          <w:iCs/>
          <w:szCs w:val="20"/>
        </w:rPr>
        <w:t>5</w:t>
      </w:r>
      <w:r>
        <w:rPr>
          <w:rFonts w:hint="eastAsia" w:eastAsia="微软雅黑"/>
          <w:b/>
          <w:bCs/>
          <w:i/>
          <w:iCs/>
          <w:szCs w:val="20"/>
        </w:rPr>
        <w:t>:</w:t>
      </w:r>
      <w:r>
        <w:rPr>
          <w:rFonts w:eastAsia="微软雅黑"/>
          <w:i/>
          <w:iCs/>
          <w:szCs w:val="20"/>
        </w:rPr>
        <w:t xml:space="preserve"> </w:t>
      </w:r>
      <w:r>
        <w:rPr>
          <w:rFonts w:hint="eastAsia" w:eastAsia="微软雅黑"/>
          <w:i/>
          <w:iCs/>
          <w:szCs w:val="20"/>
        </w:rPr>
        <w:t xml:space="preserve">Serving cell and </w:t>
      </w:r>
      <w:r>
        <w:rPr>
          <w:rFonts w:eastAsia="微软雅黑"/>
          <w:i/>
          <w:iCs/>
          <w:szCs w:val="20"/>
        </w:rPr>
        <w:t>non-serving</w:t>
      </w:r>
      <w:r>
        <w:rPr>
          <w:rFonts w:hint="eastAsia" w:eastAsia="微软雅黑"/>
          <w:i/>
          <w:iCs/>
          <w:szCs w:val="20"/>
        </w:rPr>
        <w:t xml:space="preserve"> cell </w:t>
      </w:r>
      <w:r>
        <w:rPr>
          <w:rFonts w:eastAsia="微软雅黑"/>
          <w:i/>
          <w:iCs/>
          <w:szCs w:val="20"/>
        </w:rPr>
        <w:t xml:space="preserve">can correspond to the same </w:t>
      </w:r>
      <w:r>
        <w:rPr>
          <w:rFonts w:hint="eastAsia" w:eastAsia="微软雅黑"/>
          <w:i/>
          <w:iCs/>
          <w:szCs w:val="20"/>
        </w:rPr>
        <w:t xml:space="preserve">BWP </w:t>
      </w:r>
      <w:r>
        <w:rPr>
          <w:rFonts w:eastAsia="微软雅黑"/>
          <w:i/>
          <w:iCs/>
          <w:szCs w:val="20"/>
        </w:rPr>
        <w:t xml:space="preserve">but can be </w:t>
      </w:r>
      <w:r>
        <w:rPr>
          <w:rFonts w:hint="eastAsia" w:eastAsia="微软雅黑"/>
          <w:i/>
          <w:iCs/>
          <w:szCs w:val="20"/>
        </w:rPr>
        <w:t>associated with different TCI state groups</w:t>
      </w:r>
      <w:r>
        <w:rPr>
          <w:rFonts w:eastAsia="微软雅黑"/>
          <w:i/>
          <w:iCs/>
          <w:szCs w:val="20"/>
        </w:rPr>
        <w:t>,</w:t>
      </w:r>
      <w:r>
        <w:rPr>
          <w:rFonts w:hint="eastAsia" w:eastAsia="微软雅黑"/>
          <w:i/>
          <w:iCs/>
          <w:szCs w:val="20"/>
        </w:rPr>
        <w:t xml:space="preserve"> each of which </w:t>
      </w:r>
      <w:r>
        <w:rPr>
          <w:rFonts w:eastAsia="微软雅黑"/>
          <w:i/>
          <w:iCs/>
          <w:szCs w:val="20"/>
        </w:rPr>
        <w:t>can be</w:t>
      </w:r>
      <w:r>
        <w:rPr>
          <w:rFonts w:hint="eastAsia" w:eastAsia="微软雅黑"/>
          <w:i/>
          <w:iCs/>
          <w:szCs w:val="20"/>
        </w:rPr>
        <w:t xml:space="preserve"> associated with a</w:t>
      </w:r>
      <w:r>
        <w:rPr>
          <w:rFonts w:eastAsia="微软雅黑"/>
          <w:i/>
          <w:iCs/>
          <w:szCs w:val="20"/>
        </w:rPr>
        <w:t xml:space="preserve"> respective parameter </w:t>
      </w:r>
      <w:r>
        <w:rPr>
          <w:rFonts w:hint="eastAsia" w:eastAsia="微软雅黑"/>
          <w:i/>
          <w:iCs/>
          <w:szCs w:val="20"/>
        </w:rPr>
        <w:t>configuration</w:t>
      </w:r>
      <w:r>
        <w:rPr>
          <w:rFonts w:eastAsia="微软雅黑"/>
          <w:i/>
          <w:iCs/>
          <w:szCs w:val="20"/>
        </w:rPr>
        <w:t xml:space="preserve"> (e.g., </w:t>
      </w:r>
      <w:r>
        <w:rPr>
          <w:rFonts w:hint="eastAsia" w:eastAsia="微软雅黑"/>
          <w:i/>
          <w:iCs/>
          <w:szCs w:val="20"/>
        </w:rPr>
        <w:t>additionalPCIInfo</w:t>
      </w:r>
      <w:r>
        <w:rPr>
          <w:rFonts w:eastAsia="微软雅黑"/>
          <w:i/>
          <w:iCs/>
          <w:szCs w:val="20"/>
        </w:rPr>
        <w:t xml:space="preserve">) </w:t>
      </w:r>
      <w:r>
        <w:rPr>
          <w:rFonts w:hint="eastAsia" w:eastAsia="微软雅黑"/>
          <w:i/>
          <w:iCs/>
          <w:szCs w:val="20"/>
        </w:rPr>
        <w:t>including:</w:t>
      </w:r>
      <w:r>
        <w:rPr>
          <w:rFonts w:eastAsia="微软雅黑"/>
          <w:i/>
          <w:iCs/>
          <w:szCs w:val="20"/>
        </w:rPr>
        <w:t xml:space="preserve"> </w:t>
      </w:r>
      <w:r>
        <w:rPr>
          <w:rFonts w:hint="eastAsia" w:eastAsia="微软雅黑"/>
          <w:i/>
          <w:iCs/>
          <w:szCs w:val="20"/>
        </w:rPr>
        <w:t>PCI</w:t>
      </w:r>
      <w:r>
        <w:rPr>
          <w:rFonts w:eastAsia="微软雅黑"/>
          <w:i/>
          <w:iCs/>
          <w:szCs w:val="20"/>
        </w:rPr>
        <w:t>, SSB information</w:t>
      </w:r>
      <w:r>
        <w:rPr>
          <w:rFonts w:hint="eastAsia" w:eastAsia="微软雅黑"/>
          <w:i/>
          <w:iCs/>
          <w:szCs w:val="20"/>
        </w:rPr>
        <w:t>,</w:t>
      </w:r>
      <w:r>
        <w:rPr>
          <w:rFonts w:eastAsia="微软雅黑"/>
          <w:i/>
          <w:iCs/>
          <w:szCs w:val="20"/>
        </w:rPr>
        <w:t xml:space="preserve"> </w:t>
      </w:r>
      <w:r>
        <w:rPr>
          <w:rFonts w:hint="eastAsia" w:eastAsia="微软雅黑"/>
          <w:i/>
          <w:iCs/>
          <w:szCs w:val="20"/>
        </w:rPr>
        <w:t>RNTI, rate mat</w:t>
      </w:r>
      <w:r>
        <w:rPr>
          <w:rFonts w:eastAsia="微软雅黑"/>
          <w:i/>
          <w:iCs/>
          <w:szCs w:val="20"/>
        </w:rPr>
        <w:t>ch</w:t>
      </w:r>
      <w:r>
        <w:rPr>
          <w:rFonts w:hint="eastAsia" w:eastAsia="微软雅黑"/>
          <w:i/>
          <w:iCs/>
          <w:szCs w:val="20"/>
        </w:rPr>
        <w:t xml:space="preserve">ing, power control information </w:t>
      </w:r>
      <w:r>
        <w:rPr>
          <w:rFonts w:eastAsia="微软雅黑"/>
          <w:i/>
          <w:iCs/>
          <w:szCs w:val="20"/>
        </w:rPr>
        <w:t>.</w:t>
      </w:r>
    </w:p>
    <w:p>
      <w:pPr>
        <w:pStyle w:val="109"/>
        <w:numPr>
          <w:ilvl w:val="0"/>
          <w:numId w:val="8"/>
        </w:numPr>
        <w:snapToGrid w:val="0"/>
        <w:spacing w:before="60" w:beforeLines="25" w:after="60" w:afterLines="25" w:line="300" w:lineRule="auto"/>
        <w:ind w:left="400" w:firstLineChars="0"/>
        <w:jc w:val="both"/>
        <w:rPr>
          <w:rFonts w:eastAsia="微软雅黑"/>
          <w:i/>
          <w:szCs w:val="20"/>
        </w:rPr>
      </w:pPr>
      <w:r>
        <w:rPr>
          <w:rFonts w:eastAsia="微软雅黑"/>
          <w:i/>
          <w:szCs w:val="20"/>
        </w:rPr>
        <w:t>The parameter configuration is applied upon the corresponding TCI indication</w:t>
      </w:r>
      <w:r>
        <w:rPr>
          <w:rFonts w:hint="eastAsia" w:eastAsia="微软雅黑"/>
          <w:i/>
          <w:szCs w:val="20"/>
        </w:rPr>
        <w:t xml:space="preserve"> or CORESET pool </w:t>
      </w:r>
      <w:r>
        <w:rPr>
          <w:rFonts w:eastAsia="微软雅黑"/>
          <w:i/>
          <w:szCs w:val="20"/>
        </w:rPr>
        <w:t>index.</w:t>
      </w:r>
    </w:p>
    <w:p>
      <w:pPr>
        <w:pStyle w:val="109"/>
        <w:numPr>
          <w:ilvl w:val="0"/>
          <w:numId w:val="8"/>
        </w:numPr>
        <w:snapToGrid w:val="0"/>
        <w:spacing w:before="60" w:beforeLines="25" w:after="60" w:afterLines="25" w:line="300" w:lineRule="auto"/>
        <w:ind w:left="400" w:firstLineChars="0"/>
        <w:jc w:val="both"/>
        <w:rPr>
          <w:rFonts w:eastAsia="微软雅黑"/>
          <w:i/>
          <w:szCs w:val="20"/>
        </w:rPr>
      </w:pPr>
      <w:r>
        <w:rPr>
          <w:rFonts w:hint="eastAsia" w:eastAsia="微软雅黑"/>
          <w:i/>
          <w:szCs w:val="20"/>
        </w:rPr>
        <w:t xml:space="preserve">The association between configuration of cell and TCI state group (or CORESET pool index) can be done by MAC-CE. </w:t>
      </w:r>
    </w:p>
    <w:p>
      <w:pPr>
        <w:pStyle w:val="109"/>
        <w:numPr>
          <w:ilvl w:val="1"/>
          <w:numId w:val="8"/>
        </w:numPr>
        <w:snapToGrid w:val="0"/>
        <w:spacing w:before="60" w:beforeLines="25" w:after="60" w:afterLines="25" w:line="300" w:lineRule="auto"/>
        <w:ind w:left="800" w:firstLineChars="0"/>
        <w:jc w:val="both"/>
        <w:rPr>
          <w:rFonts w:eastAsia="微软雅黑"/>
          <w:i/>
          <w:szCs w:val="20"/>
        </w:rPr>
      </w:pPr>
      <w:r>
        <w:rPr>
          <w:rFonts w:eastAsia="宋体"/>
          <w:i/>
        </w:rPr>
        <w:t xml:space="preserve">Note: The TCI state group corresponds to </w:t>
      </w:r>
      <w:r>
        <w:rPr>
          <w:rFonts w:hint="eastAsia" w:eastAsia="宋体"/>
          <w:i/>
        </w:rPr>
        <w:t xml:space="preserve">configuration of  PCI of </w:t>
      </w:r>
      <w:r>
        <w:rPr>
          <w:rFonts w:eastAsia="宋体"/>
          <w:i/>
        </w:rPr>
        <w:t>serving cell, if the association is absent</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UL beam selection for UE with multiple panels and MPE</w:t>
      </w:r>
    </w:p>
    <w:p>
      <w:pPr>
        <w:snapToGrid w:val="0"/>
        <w:spacing w:before="60" w:beforeLines="25" w:after="60" w:afterLines="25" w:line="300" w:lineRule="auto"/>
        <w:jc w:val="both"/>
        <w:rPr>
          <w:rFonts w:eastAsia="微软雅黑"/>
          <w:b/>
          <w:i/>
          <w:szCs w:val="20"/>
        </w:rPr>
      </w:pPr>
      <w:r>
        <w:rPr>
          <w:rFonts w:eastAsia="微软雅黑"/>
          <w:b/>
          <w:i/>
          <w:szCs w:val="20"/>
        </w:rPr>
        <w:t>Proposal 1</w:t>
      </w:r>
      <w:r>
        <w:rPr>
          <w:rFonts w:hint="eastAsia" w:eastAsia="微软雅黑"/>
          <w:b/>
          <w:i/>
          <w:szCs w:val="20"/>
        </w:rPr>
        <w:t>6</w:t>
      </w:r>
      <w:r>
        <w:rPr>
          <w:rFonts w:eastAsia="微软雅黑"/>
          <w:b/>
          <w:i/>
          <w:szCs w:val="20"/>
        </w:rPr>
        <w:t>:</w:t>
      </w:r>
      <w:r>
        <w:rPr>
          <w:rFonts w:hint="eastAsia" w:eastAsia="微软雅黑"/>
          <w:b/>
          <w:i/>
          <w:szCs w:val="20"/>
        </w:rPr>
        <w:t xml:space="preserve"> </w:t>
      </w:r>
      <w:r>
        <w:rPr>
          <w:rFonts w:eastAsia="微软雅黑"/>
          <w:i/>
          <w:szCs w:val="20"/>
        </w:rPr>
        <w:t>On Rel</w:t>
      </w:r>
      <w:r>
        <w:rPr>
          <w:rFonts w:hint="eastAsia" w:eastAsia="微软雅黑"/>
          <w:i/>
          <w:szCs w:val="20"/>
        </w:rPr>
        <w:t>-</w:t>
      </w:r>
      <w:r>
        <w:rPr>
          <w:rFonts w:eastAsia="微软雅黑"/>
          <w:i/>
          <w:szCs w:val="20"/>
        </w:rPr>
        <w:t>17 enhancements to facilitate UE-initiated panel activation and selection</w:t>
      </w:r>
      <w:r>
        <w:rPr>
          <w:rFonts w:hint="eastAsia" w:eastAsia="微软雅黑"/>
          <w:i/>
          <w:szCs w:val="20"/>
        </w:rPr>
        <w:t>,</w:t>
      </w:r>
      <w:r>
        <w:rPr>
          <w:rFonts w:eastAsia="微软雅黑"/>
          <w:b/>
          <w:i/>
          <w:szCs w:val="20"/>
        </w:rPr>
        <w:t xml:space="preserve"> </w:t>
      </w:r>
    </w:p>
    <w:p>
      <w:pPr>
        <w:pStyle w:val="109"/>
        <w:numPr>
          <w:ilvl w:val="0"/>
          <w:numId w:val="8"/>
        </w:numPr>
        <w:snapToGrid w:val="0"/>
        <w:spacing w:before="60" w:beforeLines="25" w:after="60" w:afterLines="25" w:line="300" w:lineRule="auto"/>
        <w:ind w:left="400" w:firstLineChars="0"/>
        <w:jc w:val="both"/>
        <w:rPr>
          <w:rFonts w:eastAsia="微软雅黑"/>
          <w:i/>
          <w:szCs w:val="20"/>
        </w:rPr>
      </w:pPr>
      <w:r>
        <w:rPr>
          <w:rFonts w:eastAsia="微软雅黑"/>
          <w:i/>
          <w:szCs w:val="20"/>
        </w:rPr>
        <w:t>Support UE reporting of the supported number of UE panel entities, and supported UL ranks (number of UL transmission layers) and supported number of SRS antenna ports per UE panel entity, as a UE capability.</w:t>
      </w:r>
    </w:p>
    <w:p>
      <w:pPr>
        <w:pStyle w:val="109"/>
        <w:numPr>
          <w:ilvl w:val="0"/>
          <w:numId w:val="8"/>
        </w:numPr>
        <w:snapToGrid w:val="0"/>
        <w:spacing w:before="60" w:beforeLines="25" w:after="60" w:afterLines="25" w:line="300" w:lineRule="auto"/>
        <w:ind w:left="400" w:firstLineChars="0"/>
        <w:jc w:val="both"/>
        <w:rPr>
          <w:rFonts w:eastAsia="微软雅黑"/>
          <w:i/>
          <w:szCs w:val="20"/>
        </w:rPr>
      </w:pPr>
      <w:r>
        <w:rPr>
          <w:rFonts w:eastAsia="微软雅黑"/>
          <w:i/>
          <w:szCs w:val="20"/>
        </w:rPr>
        <w:t>NW can configure respective transmission mode indexes to be associated with different UE panel entities, or different combination of the number of UL ranks and number of SRS antenna ports based on above UE capability report.</w:t>
      </w:r>
    </w:p>
    <w:p>
      <w:pPr>
        <w:pStyle w:val="109"/>
        <w:numPr>
          <w:ilvl w:val="0"/>
          <w:numId w:val="8"/>
        </w:numPr>
        <w:snapToGrid w:val="0"/>
        <w:spacing w:before="60" w:beforeLines="25" w:after="60" w:afterLines="25" w:line="300" w:lineRule="auto"/>
        <w:ind w:left="400" w:firstLineChars="0"/>
        <w:jc w:val="both"/>
        <w:rPr>
          <w:rFonts w:eastAsia="微软雅黑"/>
          <w:i/>
          <w:szCs w:val="20"/>
        </w:rPr>
      </w:pPr>
      <w:r>
        <w:rPr>
          <w:rFonts w:eastAsia="微软雅黑"/>
          <w:i/>
          <w:szCs w:val="20"/>
        </w:rPr>
        <w:t>In the report instance, the UE reports SSBRI/CRI and the corresponding transmission mode index</w:t>
      </w:r>
    </w:p>
    <w:p>
      <w:pPr>
        <w:pStyle w:val="111"/>
        <w:numPr>
          <w:ilvl w:val="1"/>
          <w:numId w:val="8"/>
        </w:numPr>
        <w:snapToGrid w:val="0"/>
        <w:spacing w:before="60" w:beforeLines="25" w:after="120" w:afterLines="50" w:line="300" w:lineRule="auto"/>
        <w:ind w:left="851" w:hanging="360" w:firstLineChars="0"/>
        <w:jc w:val="both"/>
        <w:rPr>
          <w:rFonts w:eastAsia="微软雅黑"/>
          <w:i/>
          <w:szCs w:val="20"/>
        </w:rPr>
      </w:pPr>
      <w:r>
        <w:rPr>
          <w:rFonts w:eastAsia="微软雅黑"/>
          <w:i/>
          <w:szCs w:val="20"/>
        </w:rPr>
        <w:t>The above results in beam report or MAC-CE are applied X symbols after receiving gNB acknowledge for the report.</w:t>
      </w:r>
    </w:p>
    <w:p>
      <w:pPr>
        <w:pStyle w:val="111"/>
        <w:numPr>
          <w:ilvl w:val="1"/>
          <w:numId w:val="8"/>
        </w:numPr>
        <w:snapToGrid w:val="0"/>
        <w:spacing w:before="60" w:beforeLines="25" w:after="120" w:afterLines="50" w:line="300" w:lineRule="auto"/>
        <w:ind w:left="851" w:hanging="360" w:firstLineChars="0"/>
        <w:jc w:val="both"/>
        <w:rPr>
          <w:rFonts w:eastAsia="微软雅黑"/>
          <w:i/>
          <w:szCs w:val="20"/>
        </w:rPr>
      </w:pPr>
      <w:r>
        <w:rPr>
          <w:rFonts w:eastAsia="微软雅黑"/>
          <w:i/>
          <w:szCs w:val="20"/>
        </w:rPr>
        <w:t>FFS: Report format, e.g., beam report or MAC-CE, and mechanism of gNB acknowledge.</w:t>
      </w:r>
    </w:p>
    <w:p>
      <w:pPr>
        <w:pStyle w:val="109"/>
        <w:numPr>
          <w:ilvl w:val="0"/>
          <w:numId w:val="8"/>
        </w:numPr>
        <w:snapToGrid w:val="0"/>
        <w:spacing w:before="60" w:beforeLines="25" w:after="60" w:afterLines="25" w:line="300" w:lineRule="auto"/>
        <w:ind w:left="400" w:hanging="420" w:firstLineChars="0"/>
        <w:jc w:val="both"/>
        <w:rPr>
          <w:rFonts w:ascii="Times" w:hAnsi="Times" w:eastAsia="Times New Roman" w:cs="Times"/>
          <w:i/>
          <w:lang w:val="en-GB" w:eastAsia="en-US"/>
        </w:rPr>
      </w:pPr>
      <w:r>
        <w:rPr>
          <w:rFonts w:ascii="Times" w:hAnsi="Times" w:eastAsia="Times New Roman" w:cs="Times"/>
          <w:i/>
          <w:lang w:val="en-GB" w:eastAsia="en-US"/>
        </w:rPr>
        <w:t xml:space="preserve">Support </w:t>
      </w:r>
      <w:r>
        <w:rPr>
          <w:rFonts w:ascii="Times" w:hAnsi="Times" w:eastAsia="微软雅黑" w:cs="Times"/>
          <w:i/>
          <w:szCs w:val="20"/>
          <w:lang w:val="en-GB" w:eastAsia="en-US"/>
        </w:rPr>
        <w:t>multiple</w:t>
      </w:r>
      <w:r>
        <w:rPr>
          <w:rFonts w:ascii="Times" w:hAnsi="Times" w:eastAsia="Times New Roman" w:cs="Times"/>
          <w:i/>
          <w:lang w:val="en-GB" w:eastAsia="en-US"/>
        </w:rPr>
        <w:t xml:space="preserve"> codebook-based SRS resource sets with different number of SRS antenna ports</w:t>
      </w:r>
    </w:p>
    <w:p>
      <w:pPr>
        <w:pStyle w:val="111"/>
        <w:numPr>
          <w:ilvl w:val="1"/>
          <w:numId w:val="8"/>
        </w:numPr>
        <w:snapToGrid w:val="0"/>
        <w:spacing w:before="60" w:beforeLines="25" w:after="120" w:afterLines="50" w:line="300" w:lineRule="auto"/>
        <w:ind w:left="851" w:hanging="360" w:firstLineChars="0"/>
        <w:jc w:val="both"/>
      </w:pPr>
      <w:r>
        <w:rPr>
          <w:rFonts w:ascii="Times" w:hAnsi="Times" w:eastAsia="Times New Roman" w:cs="Times"/>
          <w:i/>
          <w:lang w:val="en-GB" w:eastAsia="en-US"/>
        </w:rPr>
        <w:t xml:space="preserve">The indicated </w:t>
      </w:r>
      <w:r>
        <w:rPr>
          <w:rFonts w:ascii="Times" w:hAnsi="Times" w:eastAsia="微软雅黑" w:cs="Times"/>
          <w:i/>
          <w:szCs w:val="20"/>
          <w:lang w:val="en-GB" w:eastAsia="en-US"/>
        </w:rPr>
        <w:t>SRI</w:t>
      </w:r>
      <w:r>
        <w:rPr>
          <w:rFonts w:ascii="Times" w:hAnsi="Times" w:eastAsia="Times New Roman" w:cs="Times"/>
          <w:i/>
          <w:lang w:val="en-GB" w:eastAsia="en-US"/>
        </w:rPr>
        <w:t xml:space="preserve"> is based on the SRS resources corresponding to one SRS resource set, where the SRS resource set should be aligned with the UE reported info corresponding to the transmission mode index</w:t>
      </w:r>
    </w:p>
    <w:p>
      <w:pPr>
        <w:snapToGrid w:val="0"/>
        <w:spacing w:before="60" w:beforeLines="25" w:after="60" w:afterLines="25" w:line="300" w:lineRule="auto"/>
        <w:jc w:val="both"/>
        <w:rPr>
          <w:rFonts w:eastAsia="微软雅黑"/>
          <w:b/>
          <w:i/>
          <w:szCs w:val="20"/>
        </w:rPr>
      </w:pPr>
      <w:r>
        <w:rPr>
          <w:rFonts w:eastAsia="微软雅黑"/>
          <w:b/>
          <w:i/>
          <w:szCs w:val="20"/>
        </w:rPr>
        <w:t>Proposal 1</w:t>
      </w:r>
      <w:r>
        <w:rPr>
          <w:rFonts w:hint="eastAsia" w:eastAsia="微软雅黑"/>
          <w:b/>
          <w:i/>
          <w:szCs w:val="20"/>
        </w:rPr>
        <w:t>7</w:t>
      </w:r>
      <w:r>
        <w:rPr>
          <w:rFonts w:eastAsia="微软雅黑"/>
          <w:b/>
          <w:i/>
          <w:szCs w:val="20"/>
        </w:rPr>
        <w:t>:</w:t>
      </w:r>
      <w:r>
        <w:rPr>
          <w:rFonts w:hint="eastAsia" w:eastAsia="微软雅黑"/>
          <w:b/>
          <w:i/>
          <w:szCs w:val="20"/>
        </w:rPr>
        <w:t xml:space="preserve"> </w:t>
      </w:r>
      <w:r>
        <w:rPr>
          <w:rFonts w:eastAsia="微软雅黑"/>
          <w:i/>
          <w:szCs w:val="20"/>
        </w:rPr>
        <w:t>On Rel</w:t>
      </w:r>
      <w:r>
        <w:rPr>
          <w:rFonts w:hint="eastAsia" w:eastAsia="微软雅黑"/>
          <w:i/>
          <w:szCs w:val="20"/>
        </w:rPr>
        <w:t>-</w:t>
      </w:r>
      <w:r>
        <w:rPr>
          <w:rFonts w:eastAsia="微软雅黑"/>
          <w:i/>
          <w:szCs w:val="20"/>
        </w:rPr>
        <w:t>17 enhancements to facilitate MPE mitigation</w:t>
      </w:r>
      <w:r>
        <w:rPr>
          <w:rFonts w:eastAsia="微软雅黑"/>
          <w:b/>
          <w:i/>
          <w:szCs w:val="20"/>
        </w:rPr>
        <w:t xml:space="preserve"> </w:t>
      </w:r>
    </w:p>
    <w:p>
      <w:pPr>
        <w:pStyle w:val="109"/>
        <w:numPr>
          <w:ilvl w:val="0"/>
          <w:numId w:val="8"/>
        </w:numPr>
        <w:overflowPunct w:val="0"/>
        <w:autoSpaceDE w:val="0"/>
        <w:autoSpaceDN w:val="0"/>
        <w:adjustRightInd w:val="0"/>
        <w:snapToGrid w:val="0"/>
        <w:spacing w:before="60" w:beforeLines="25" w:after="60" w:afterLines="25" w:line="300" w:lineRule="auto"/>
        <w:ind w:left="400" w:firstLineChars="0"/>
        <w:jc w:val="both"/>
        <w:textAlignment w:val="baseline"/>
        <w:rPr>
          <w:i/>
          <w:szCs w:val="20"/>
        </w:rPr>
      </w:pPr>
      <w:r>
        <w:rPr>
          <w:i/>
          <w:szCs w:val="20"/>
        </w:rPr>
        <w:t>Confirm the working assumption with the following modification</w:t>
      </w:r>
    </w:p>
    <w:p>
      <w:pPr>
        <w:pStyle w:val="111"/>
        <w:numPr>
          <w:ilvl w:val="1"/>
          <w:numId w:val="8"/>
        </w:numPr>
        <w:overflowPunct w:val="0"/>
        <w:autoSpaceDE w:val="0"/>
        <w:autoSpaceDN w:val="0"/>
        <w:adjustRightInd w:val="0"/>
        <w:snapToGrid w:val="0"/>
        <w:spacing w:before="60" w:beforeLines="25" w:after="120" w:afterLines="50" w:line="300" w:lineRule="auto"/>
        <w:ind w:left="851" w:firstLineChars="0"/>
        <w:jc w:val="both"/>
        <w:textAlignment w:val="baseline"/>
        <w:rPr>
          <w:rFonts w:eastAsia="Times New Roman"/>
          <w:i/>
          <w:szCs w:val="20"/>
          <w:lang w:val="en-GB" w:eastAsia="ja-JP"/>
        </w:rPr>
      </w:pPr>
      <w:r>
        <w:rPr>
          <w:rFonts w:eastAsia="Times New Roman"/>
          <w:i/>
          <w:szCs w:val="20"/>
          <w:lang w:val="en-GB" w:eastAsia="ja-JP"/>
        </w:rPr>
        <w:t>For each P-MPR value, up to M</w:t>
      </w:r>
      <w:r>
        <w:rPr>
          <w:rFonts w:eastAsia="Times New Roman"/>
          <w:i/>
          <w:color w:val="FF0000"/>
          <w:szCs w:val="20"/>
          <w:lang w:val="en-GB" w:eastAsia="ja-JP"/>
        </w:rPr>
        <w:t xml:space="preserve">=1 </w:t>
      </w:r>
      <w:r>
        <w:rPr>
          <w:rFonts w:eastAsia="Times New Roman"/>
          <w:i/>
          <w:szCs w:val="20"/>
          <w:lang w:val="en-GB" w:eastAsia="ja-JP"/>
        </w:rPr>
        <w:t>SSBRI(s)/CRI(s), where the SSBRI(s)/CRI(s) is selected by the UE from a candidate SSB/CSI-RS resource pool (FFS: how to perform the selection)</w:t>
      </w:r>
    </w:p>
    <w:p>
      <w:pPr>
        <w:pStyle w:val="111"/>
        <w:numPr>
          <w:ilvl w:val="2"/>
          <w:numId w:val="8"/>
        </w:numPr>
        <w:snapToGrid w:val="0"/>
        <w:spacing w:before="60" w:beforeLines="25" w:after="120" w:afterLines="50" w:line="300" w:lineRule="auto"/>
        <w:ind w:left="1276" w:firstLineChars="0"/>
        <w:jc w:val="both"/>
        <w:rPr>
          <w:rFonts w:eastAsia="Times New Roman"/>
          <w:strike/>
          <w:color w:val="FF0000"/>
          <w:szCs w:val="20"/>
          <w:lang w:val="en-GB" w:eastAsia="ja-JP"/>
        </w:rPr>
      </w:pPr>
      <w:r>
        <w:rPr>
          <w:rFonts w:eastAsia="Times New Roman"/>
          <w:strike/>
          <w:color w:val="FF0000"/>
          <w:szCs w:val="20"/>
          <w:lang w:val="en-GB" w:eastAsia="ja-JP"/>
        </w:rPr>
        <w:t>FFS: The supported value(s) of M</w:t>
      </w:r>
    </w:p>
    <w:p>
      <w:pPr>
        <w:pStyle w:val="109"/>
        <w:numPr>
          <w:ilvl w:val="0"/>
          <w:numId w:val="8"/>
        </w:numPr>
        <w:overflowPunct w:val="0"/>
        <w:autoSpaceDE w:val="0"/>
        <w:autoSpaceDN w:val="0"/>
        <w:adjustRightInd w:val="0"/>
        <w:snapToGrid w:val="0"/>
        <w:spacing w:before="60" w:beforeLines="25" w:after="60" w:afterLines="25" w:line="300" w:lineRule="auto"/>
        <w:ind w:left="400" w:firstLineChars="0"/>
        <w:jc w:val="both"/>
        <w:textAlignment w:val="baseline"/>
        <w:rPr>
          <w:i/>
          <w:szCs w:val="20"/>
        </w:rPr>
      </w:pPr>
      <w:r>
        <w:rPr>
          <w:i/>
          <w:szCs w:val="20"/>
        </w:rPr>
        <w:t>Introduc</w:t>
      </w:r>
      <w:r>
        <w:rPr>
          <w:rFonts w:hint="eastAsia" w:eastAsia="宋体"/>
          <w:i/>
          <w:szCs w:val="20"/>
        </w:rPr>
        <w:t>e</w:t>
      </w:r>
      <w:r>
        <w:rPr>
          <w:i/>
          <w:szCs w:val="20"/>
        </w:rPr>
        <w:t xml:space="preserve"> modified virtual PHR for each P-MPR value and SSBRI(s)/CRI(s)</w:t>
      </w:r>
    </w:p>
    <w:p>
      <w:pPr>
        <w:pStyle w:val="111"/>
        <w:numPr>
          <w:ilvl w:val="1"/>
          <w:numId w:val="8"/>
        </w:numPr>
        <w:snapToGrid w:val="0"/>
        <w:spacing w:before="60" w:beforeLines="25" w:after="120" w:afterLines="50" w:line="300" w:lineRule="auto"/>
        <w:ind w:left="851" w:firstLineChars="0"/>
        <w:jc w:val="both"/>
        <w:rPr>
          <w:i/>
          <w:szCs w:val="20"/>
        </w:rPr>
      </w:pPr>
      <w:r>
        <w:rPr>
          <w:i/>
          <w:szCs w:val="20"/>
        </w:rPr>
        <w:t>The Pcmax to calculate the modified virtual PHR takes into account the P-MPR based on MPE impact</w:t>
      </w:r>
    </w:p>
    <w:p>
      <w:pPr>
        <w:pStyle w:val="111"/>
        <w:numPr>
          <w:ilvl w:val="1"/>
          <w:numId w:val="8"/>
        </w:numPr>
        <w:overflowPunct w:val="0"/>
        <w:autoSpaceDE w:val="0"/>
        <w:autoSpaceDN w:val="0"/>
        <w:adjustRightInd w:val="0"/>
        <w:snapToGrid w:val="0"/>
        <w:spacing w:before="60" w:beforeLines="25" w:after="120" w:afterLines="50" w:line="300" w:lineRule="auto"/>
        <w:ind w:left="851" w:firstLineChars="0"/>
        <w:jc w:val="both"/>
        <w:textAlignment w:val="baseline"/>
        <w:rPr>
          <w:i/>
          <w:szCs w:val="20"/>
          <w:lang w:val="en-GB"/>
        </w:rPr>
      </w:pPr>
      <w:r>
        <w:rPr>
          <w:i/>
          <w:szCs w:val="20"/>
        </w:rPr>
        <w:t xml:space="preserve">The pathloss to calculate the modified virtual PHR is based on measured L1-RSRP for corresponding SSBRI(s)/CRI(s) </w:t>
      </w:r>
    </w:p>
    <w:p>
      <w:pPr>
        <w:widowControl w:val="0"/>
        <w:snapToGrid w:val="0"/>
        <w:spacing w:before="120" w:after="120" w:afterLines="50" w:line="300" w:lineRule="auto"/>
        <w:jc w:val="both"/>
        <w:rPr>
          <w:rFonts w:eastAsia="微软雅黑"/>
          <w:szCs w:val="20"/>
          <w:u w:val="single"/>
        </w:rPr>
      </w:pPr>
      <w:r>
        <w:rPr>
          <w:rFonts w:eastAsia="微软雅黑"/>
          <w:szCs w:val="20"/>
          <w:u w:val="single"/>
        </w:rPr>
        <w:t>Advanced beam training/tracking with latency reduction</w:t>
      </w:r>
    </w:p>
    <w:p>
      <w:pPr>
        <w:snapToGrid w:val="0"/>
        <w:spacing w:before="120" w:after="120" w:afterLines="50"/>
        <w:jc w:val="both"/>
        <w:rPr>
          <w:rFonts w:eastAsia="宋体"/>
          <w:bCs/>
          <w:i/>
          <w:szCs w:val="20"/>
        </w:rPr>
      </w:pPr>
      <w:r>
        <w:rPr>
          <w:b/>
          <w:i/>
          <w:szCs w:val="20"/>
        </w:rPr>
        <w:t xml:space="preserve">Proposal </w:t>
      </w:r>
      <w:r>
        <w:rPr>
          <w:rFonts w:hint="eastAsia" w:eastAsia="宋体"/>
          <w:b/>
          <w:i/>
          <w:szCs w:val="20"/>
        </w:rPr>
        <w:t>18</w:t>
      </w:r>
      <w:r>
        <w:rPr>
          <w:b/>
          <w:i/>
          <w:szCs w:val="20"/>
        </w:rPr>
        <w:t xml:space="preserve">: </w:t>
      </w:r>
      <w:r>
        <w:rPr>
          <w:rFonts w:eastAsia="微软雅黑"/>
          <w:bCs/>
          <w:i/>
          <w:szCs w:val="20"/>
        </w:rPr>
        <w:t>To</w:t>
      </w:r>
      <w:r>
        <w:rPr>
          <w:rFonts w:hint="eastAsia" w:eastAsia="微软雅黑"/>
          <w:bCs/>
          <w:i/>
          <w:szCs w:val="20"/>
        </w:rPr>
        <w:t xml:space="preserve"> </w:t>
      </w:r>
      <w:r>
        <w:rPr>
          <w:rFonts w:eastAsia="微软雅黑"/>
          <w:bCs/>
          <w:i/>
          <w:szCs w:val="20"/>
        </w:rPr>
        <w:t xml:space="preserve">support enhancements on UE-initiated beam activation based on legacy beam report </w:t>
      </w:r>
    </w:p>
    <w:p>
      <w:pPr>
        <w:pStyle w:val="109"/>
        <w:numPr>
          <w:ilvl w:val="0"/>
          <w:numId w:val="8"/>
        </w:numPr>
        <w:snapToGrid w:val="0"/>
        <w:spacing w:before="60" w:beforeLines="25" w:after="60" w:afterLines="25" w:line="300" w:lineRule="auto"/>
        <w:ind w:left="400" w:hanging="420" w:firstLineChars="0"/>
        <w:jc w:val="both"/>
        <w:rPr>
          <w:rFonts w:eastAsia="微软雅黑"/>
          <w:bCs/>
          <w:i/>
          <w:szCs w:val="20"/>
        </w:rPr>
      </w:pPr>
      <w:r>
        <w:rPr>
          <w:rFonts w:eastAsia="微软雅黑"/>
          <w:bCs/>
          <w:i/>
          <w:szCs w:val="20"/>
        </w:rPr>
        <w:t>UE assumes that m</w:t>
      </w:r>
      <w:r>
        <w:rPr>
          <w:rFonts w:hint="eastAsia" w:eastAsia="微软雅黑"/>
          <w:bCs/>
          <w:i/>
          <w:szCs w:val="20"/>
        </w:rPr>
        <w:t xml:space="preserve">ultiple reported CRIs </w:t>
      </w:r>
      <w:r>
        <w:rPr>
          <w:rFonts w:eastAsia="微软雅黑"/>
          <w:bCs/>
          <w:i/>
          <w:szCs w:val="20"/>
        </w:rPr>
        <w:t xml:space="preserve">are </w:t>
      </w:r>
      <w:r>
        <w:rPr>
          <w:rFonts w:hint="eastAsia" w:eastAsia="微软雅黑"/>
          <w:bCs/>
          <w:i/>
          <w:szCs w:val="20"/>
        </w:rPr>
        <w:t>mapped to</w:t>
      </w:r>
      <w:r>
        <w:rPr>
          <w:rFonts w:eastAsia="微软雅黑"/>
          <w:bCs/>
          <w:i/>
          <w:szCs w:val="20"/>
        </w:rPr>
        <w:t xml:space="preserve"> corresponding </w:t>
      </w:r>
      <w:r>
        <w:rPr>
          <w:rFonts w:hint="eastAsia" w:eastAsia="微软雅黑"/>
          <w:bCs/>
          <w:i/>
          <w:szCs w:val="20"/>
        </w:rPr>
        <w:t>TCI codepoints</w:t>
      </w:r>
      <w:r>
        <w:rPr>
          <w:rFonts w:eastAsia="微软雅黑"/>
          <w:bCs/>
          <w:i/>
          <w:szCs w:val="20"/>
        </w:rPr>
        <w:t>.</w:t>
      </w:r>
    </w:p>
    <w:p>
      <w:pPr>
        <w:pStyle w:val="109"/>
        <w:numPr>
          <w:ilvl w:val="0"/>
          <w:numId w:val="8"/>
        </w:numPr>
        <w:snapToGrid w:val="0"/>
        <w:spacing w:before="60" w:beforeLines="25" w:after="60" w:afterLines="25" w:line="300" w:lineRule="auto"/>
        <w:ind w:left="400" w:firstLineChars="0"/>
        <w:jc w:val="both"/>
        <w:rPr>
          <w:rFonts w:eastAsia="微软雅黑"/>
          <w:bCs/>
          <w:i/>
          <w:szCs w:val="20"/>
        </w:rPr>
      </w:pPr>
      <w:r>
        <w:rPr>
          <w:rFonts w:eastAsia="微软雅黑"/>
          <w:bCs/>
          <w:i/>
          <w:szCs w:val="20"/>
        </w:rPr>
        <w:t xml:space="preserve">The reported beam(s) are activated as active TCI/spatial relation RS(s) automatically w/o NW activation command after receiving </w:t>
      </w:r>
    </w:p>
    <w:p>
      <w:pPr>
        <w:pStyle w:val="109"/>
        <w:widowControl w:val="0"/>
        <w:numPr>
          <w:ilvl w:val="0"/>
          <w:numId w:val="8"/>
        </w:numPr>
        <w:snapToGrid w:val="0"/>
        <w:spacing w:before="60" w:beforeLines="25" w:after="60" w:afterLines="25" w:line="300" w:lineRule="auto"/>
        <w:ind w:left="400" w:firstLineChars="0"/>
        <w:jc w:val="both"/>
        <w:rPr>
          <w:rFonts w:eastAsia="宋体"/>
          <w:b/>
          <w:sz w:val="21"/>
          <w:szCs w:val="20"/>
        </w:rPr>
      </w:pPr>
      <w:r>
        <w:rPr>
          <w:rFonts w:eastAsia="微软雅黑"/>
          <w:bCs/>
          <w:i/>
          <w:szCs w:val="20"/>
        </w:rPr>
        <w:t>DL</w:t>
      </w:r>
      <w:r>
        <w:rPr>
          <w:rFonts w:hint="eastAsia" w:eastAsia="微软雅黑"/>
          <w:bCs/>
          <w:i/>
          <w:szCs w:val="20"/>
        </w:rPr>
        <w:t xml:space="preserve"> DCI </w:t>
      </w:r>
      <w:r>
        <w:rPr>
          <w:rFonts w:eastAsia="微软雅黑"/>
          <w:bCs/>
          <w:i/>
          <w:szCs w:val="20"/>
        </w:rPr>
        <w:t xml:space="preserve">with </w:t>
      </w:r>
      <w:r>
        <w:rPr>
          <w:rFonts w:hint="eastAsia" w:eastAsia="微软雅黑"/>
          <w:bCs/>
          <w:i/>
          <w:szCs w:val="20"/>
        </w:rPr>
        <w:t xml:space="preserve">TCI codepoint indication </w:t>
      </w:r>
      <w:r>
        <w:rPr>
          <w:rFonts w:eastAsia="微软雅黑"/>
          <w:bCs/>
          <w:i/>
          <w:szCs w:val="20"/>
        </w:rPr>
        <w:t>that carries the gNB acknowledge/response message</w:t>
      </w:r>
      <w:r>
        <w:rPr>
          <w:rFonts w:hint="eastAsia" w:eastAsia="微软雅黑"/>
          <w:bCs/>
          <w:iCs/>
          <w:szCs w:val="20"/>
        </w:rPr>
        <w:t>.</w:t>
      </w:r>
    </w:p>
    <w:p>
      <w:pPr>
        <w:widowControl w:val="0"/>
        <w:snapToGrid w:val="0"/>
        <w:spacing w:before="120" w:after="120" w:afterLines="50" w:line="300" w:lineRule="auto"/>
        <w:jc w:val="both"/>
        <w:rPr>
          <w:rFonts w:eastAsia="微软雅黑"/>
          <w:szCs w:val="20"/>
          <w:u w:val="single"/>
        </w:rPr>
      </w:pPr>
      <w:r>
        <w:rPr>
          <w:rFonts w:hint="eastAsia" w:eastAsia="微软雅黑"/>
          <w:szCs w:val="20"/>
          <w:u w:val="single"/>
        </w:rPr>
        <w:t xml:space="preserve">RRC parameters for multi-beam operation </w:t>
      </w:r>
    </w:p>
    <w:p>
      <w:pPr>
        <w:spacing w:before="120"/>
        <w:rPr>
          <w:i/>
        </w:rPr>
      </w:pPr>
      <w:r>
        <w:rPr>
          <w:b/>
          <w:i/>
        </w:rPr>
        <w:t>Proposal 19</w:t>
      </w:r>
      <w:r>
        <w:rPr>
          <w:rFonts w:hint="eastAsia"/>
          <w:b/>
          <w:i/>
        </w:rPr>
        <w:t xml:space="preserve">: </w:t>
      </w:r>
      <w:r>
        <w:rPr>
          <w:i/>
        </w:rPr>
        <w:t>For RRC configuration for unified TCI state, the following modification is proposed in red</w:t>
      </w:r>
    </w:p>
    <w:tbl>
      <w:tblPr>
        <w:tblStyle w:val="23"/>
        <w:tblW w:w="9351" w:type="dxa"/>
        <w:tblInd w:w="0" w:type="dxa"/>
        <w:shd w:val="clear" w:color="auto" w:fill="FFFFFF" w:themeFill="background1"/>
        <w:tblLayout w:type="autofit"/>
        <w:tblCellMar>
          <w:top w:w="0" w:type="dxa"/>
          <w:left w:w="108" w:type="dxa"/>
          <w:bottom w:w="0" w:type="dxa"/>
          <w:right w:w="108" w:type="dxa"/>
        </w:tblCellMar>
      </w:tblPr>
      <w:tblGrid>
        <w:gridCol w:w="2920"/>
        <w:gridCol w:w="6431"/>
      </w:tblGrid>
      <w:tr>
        <w:tblPrEx>
          <w:shd w:val="clear" w:color="auto" w:fill="FFFFFF" w:themeFill="background1"/>
          <w:tblCellMar>
            <w:top w:w="0" w:type="dxa"/>
            <w:left w:w="108" w:type="dxa"/>
            <w:bottom w:w="0" w:type="dxa"/>
            <w:right w:w="108" w:type="dxa"/>
          </w:tblCellMar>
        </w:tblPrEx>
        <w:trPr>
          <w:trHeight w:val="1443" w:hRule="atLeast"/>
        </w:trPr>
        <w:tc>
          <w:tcPr>
            <w:tcW w:w="292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TCI-State_r17</w:t>
            </w:r>
          </w:p>
        </w:tc>
        <w:tc>
          <w:tcPr>
            <w:tcW w:w="6431"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Release 17 TCI state includes the following fields:</w:t>
            </w:r>
            <w:r>
              <w:rPr>
                <w:rFonts w:ascii="Arial" w:hAnsi="Arial" w:eastAsia="Times New Roman" w:cs="Arial"/>
                <w:sz w:val="18"/>
                <w:szCs w:val="18"/>
              </w:rPr>
              <w:br w:type="textWrapping"/>
            </w:r>
            <w:r>
              <w:rPr>
                <w:rFonts w:ascii="Arial" w:hAnsi="Arial" w:eastAsia="Times New Roman" w:cs="Arial"/>
                <w:b/>
                <w:bCs/>
                <w:sz w:val="18"/>
                <w:szCs w:val="18"/>
              </w:rPr>
              <w:t>tci-StateId_r17</w:t>
            </w:r>
            <w:r>
              <w:rPr>
                <w:rFonts w:ascii="Arial" w:hAnsi="Arial" w:eastAsia="Times New Roman" w:cs="Arial"/>
                <w:sz w:val="18"/>
                <w:szCs w:val="18"/>
              </w:rPr>
              <w:br w:type="textWrapping"/>
            </w:r>
            <w:r>
              <w:rPr>
                <w:rFonts w:ascii="Arial" w:hAnsi="Arial" w:eastAsia="Times New Roman" w:cs="Arial"/>
                <w:b/>
                <w:bCs/>
                <w:strike/>
                <w:color w:val="FF0000"/>
                <w:sz w:val="18"/>
                <w:szCs w:val="18"/>
              </w:rPr>
              <w:t>tci-StateType</w:t>
            </w:r>
            <w:r>
              <w:rPr>
                <w:rFonts w:ascii="Arial" w:hAnsi="Arial" w:eastAsia="Times New Roman" w:cs="Arial"/>
                <w:sz w:val="18"/>
                <w:szCs w:val="18"/>
              </w:rPr>
              <w:br w:type="textWrapping"/>
            </w:r>
            <w:r>
              <w:rPr>
                <w:rFonts w:ascii="Arial" w:hAnsi="Arial" w:eastAsia="Times New Roman" w:cs="Arial"/>
                <w:b/>
                <w:bCs/>
                <w:sz w:val="18"/>
                <w:szCs w:val="18"/>
              </w:rPr>
              <w:t>qcl-Type1</w:t>
            </w:r>
            <w:r>
              <w:rPr>
                <w:rFonts w:ascii="Arial" w:hAnsi="Arial" w:eastAsia="Times New Roman" w:cs="Arial"/>
                <w:sz w:val="18"/>
                <w:szCs w:val="18"/>
              </w:rPr>
              <w:t xml:space="preserve"> of type QCL-Info_r17 </w:t>
            </w:r>
            <w:r>
              <w:rPr>
                <w:rFonts w:ascii="Arial" w:hAnsi="Arial" w:eastAsia="Times New Roman" w:cs="Arial"/>
                <w:color w:val="FF0000"/>
                <w:sz w:val="18"/>
                <w:szCs w:val="18"/>
                <w:lang w:eastAsia="zh-TW"/>
              </w:rPr>
              <w:t>for  QCL Type A, QCL-TypeB or QCL-TypeC for DL</w:t>
            </w:r>
            <w:r>
              <w:rPr>
                <w:rFonts w:ascii="Arial" w:hAnsi="Arial" w:eastAsia="Times New Roman" w:cs="Arial"/>
                <w:sz w:val="18"/>
                <w:szCs w:val="18"/>
              </w:rPr>
              <w:br w:type="textWrapping"/>
            </w:r>
            <w:r>
              <w:rPr>
                <w:rFonts w:ascii="Arial" w:hAnsi="Arial" w:eastAsia="Times New Roman" w:cs="Arial"/>
                <w:b/>
                <w:bCs/>
                <w:sz w:val="18"/>
                <w:szCs w:val="18"/>
              </w:rPr>
              <w:t>qcl-Type2</w:t>
            </w:r>
            <w:r>
              <w:rPr>
                <w:rFonts w:ascii="Arial" w:hAnsi="Arial" w:eastAsia="Times New Roman" w:cs="Arial"/>
                <w:sz w:val="18"/>
                <w:szCs w:val="18"/>
              </w:rPr>
              <w:t xml:space="preserve"> of type QCL-Info_r17 </w:t>
            </w:r>
            <w:r>
              <w:rPr>
                <w:rFonts w:ascii="Arial" w:hAnsi="Arial" w:eastAsia="Times New Roman" w:cs="Arial"/>
                <w:color w:val="FF0000"/>
                <w:sz w:val="18"/>
                <w:szCs w:val="18"/>
                <w:lang w:eastAsia="zh-TW"/>
              </w:rPr>
              <w:t>for  QCL Type D for DL, or UL spatial relation for UL</w:t>
            </w:r>
          </w:p>
        </w:tc>
      </w:tr>
      <w:tr>
        <w:tblPrEx>
          <w:shd w:val="clear" w:color="auto" w:fill="FFFFFF" w:themeFill="background1"/>
          <w:tblCellMar>
            <w:top w:w="0" w:type="dxa"/>
            <w:left w:w="108" w:type="dxa"/>
            <w:bottom w:w="0" w:type="dxa"/>
            <w:right w:w="108" w:type="dxa"/>
          </w:tblCellMar>
        </w:tblPrEx>
        <w:trPr>
          <w:trHeight w:val="40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tci-StateId_r17</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Release 17 TCI state ID</w:t>
            </w:r>
          </w:p>
        </w:tc>
      </w:tr>
      <w:tr>
        <w:tblPrEx>
          <w:shd w:val="clear" w:color="auto" w:fill="FFFFFF" w:themeFill="background1"/>
          <w:tblCellMar>
            <w:top w:w="0" w:type="dxa"/>
            <w:left w:w="108" w:type="dxa"/>
            <w:bottom w:w="0" w:type="dxa"/>
            <w:right w:w="108" w:type="dxa"/>
          </w:tblCellMar>
        </w:tblPrEx>
        <w:trPr>
          <w:trHeight w:val="562"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tci-StateType</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Type of TCI state: DL only, or UL only, or Joint (note: DL only+UL only is only a matter of indication, not type)</w:t>
            </w:r>
          </w:p>
        </w:tc>
      </w:tr>
      <w:tr>
        <w:tblPrEx>
          <w:shd w:val="clear" w:color="auto" w:fill="FFFFFF" w:themeFill="background1"/>
          <w:tblCellMar>
            <w:top w:w="0" w:type="dxa"/>
            <w:left w:w="108" w:type="dxa"/>
            <w:bottom w:w="0" w:type="dxa"/>
            <w:right w:w="108" w:type="dxa"/>
          </w:tblCellMar>
        </w:tblPrEx>
        <w:trPr>
          <w:trHeight w:val="2683"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QCL-Info_r17</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Release 17 QCL info for the unified TCI framework. Includes the following fields</w:t>
            </w:r>
            <w:r>
              <w:rPr>
                <w:rFonts w:ascii="Arial" w:hAnsi="Arial" w:eastAsia="Times New Roman" w:cs="Arial"/>
                <w:sz w:val="18"/>
                <w:szCs w:val="18"/>
              </w:rPr>
              <w:br w:type="textWrapping"/>
            </w:r>
            <w:r>
              <w:rPr>
                <w:rFonts w:ascii="Arial" w:hAnsi="Arial" w:eastAsia="Times New Roman" w:cs="Arial"/>
                <w:b/>
                <w:bCs/>
                <w:sz w:val="18"/>
                <w:szCs w:val="18"/>
              </w:rPr>
              <w:t>cell</w:t>
            </w:r>
            <w:r>
              <w:rPr>
                <w:rFonts w:ascii="Arial" w:hAnsi="Arial" w:eastAsia="Times New Roman" w:cs="Arial"/>
                <w:sz w:val="18"/>
                <w:szCs w:val="18"/>
              </w:rPr>
              <w:br w:type="textWrapping"/>
            </w:r>
            <w:r>
              <w:rPr>
                <w:rFonts w:ascii="Arial" w:hAnsi="Arial" w:eastAsia="Times New Roman" w:cs="Arial"/>
                <w:b/>
                <w:bCs/>
                <w:sz w:val="18"/>
                <w:szCs w:val="18"/>
              </w:rPr>
              <w:t>bwp-Id</w:t>
            </w:r>
            <w:r>
              <w:rPr>
                <w:rFonts w:ascii="Arial" w:hAnsi="Arial" w:eastAsia="Times New Roman" w:cs="Arial"/>
                <w:sz w:val="18"/>
                <w:szCs w:val="18"/>
              </w:rPr>
              <w:br w:type="textWrapping"/>
            </w:r>
            <w:r>
              <w:rPr>
                <w:rFonts w:ascii="Arial" w:hAnsi="Arial" w:eastAsia="Times New Roman" w:cs="Arial"/>
                <w:b/>
                <w:bCs/>
                <w:sz w:val="18"/>
                <w:szCs w:val="18"/>
              </w:rPr>
              <w:t>referenceSignal</w:t>
            </w:r>
            <w:r>
              <w:rPr>
                <w:rFonts w:ascii="Arial" w:hAnsi="Arial" w:eastAsia="Times New Roman" w:cs="Arial"/>
                <w:sz w:val="18"/>
                <w:szCs w:val="18"/>
              </w:rPr>
              <w:t xml:space="preserve"> choice of </w:t>
            </w:r>
            <w:r>
              <w:rPr>
                <w:rFonts w:ascii="Arial" w:hAnsi="Arial" w:eastAsia="Times New Roman" w:cs="Arial"/>
                <w:color w:val="FF0000"/>
                <w:sz w:val="18"/>
                <w:szCs w:val="18"/>
              </w:rPr>
              <w:t>{</w:t>
            </w:r>
            <w:r>
              <w:rPr>
                <w:rFonts w:ascii="Arial" w:hAnsi="Arial" w:eastAsia="Times New Roman" w:cs="Arial"/>
                <w:sz w:val="18"/>
                <w:szCs w:val="18"/>
              </w:rPr>
              <w:br w:type="textWrapping"/>
            </w:r>
            <w:r>
              <w:rPr>
                <w:rFonts w:ascii="Arial" w:hAnsi="Arial" w:eastAsia="Times New Roman" w:cs="Arial"/>
                <w:sz w:val="18"/>
                <w:szCs w:val="18"/>
              </w:rPr>
              <w:t xml:space="preserve">  </w:t>
            </w:r>
            <w:r>
              <w:rPr>
                <w:rFonts w:ascii="Arial" w:hAnsi="Arial" w:eastAsia="Times New Roman" w:cs="Arial"/>
                <w:strike/>
                <w:color w:val="FF0000"/>
                <w:sz w:val="18"/>
                <w:szCs w:val="18"/>
              </w:rPr>
              <w:t>for DL or Joint TCI state</w:t>
            </w:r>
            <w:r>
              <w:rPr>
                <w:rFonts w:ascii="Arial" w:hAnsi="Arial" w:eastAsia="Times New Roman" w:cs="Arial"/>
                <w:sz w:val="18"/>
                <w:szCs w:val="18"/>
              </w:rPr>
              <w:br w:type="textWrapping"/>
            </w:r>
            <w:r>
              <w:rPr>
                <w:rFonts w:ascii="Arial" w:hAnsi="Arial" w:eastAsia="Times New Roman" w:cs="Arial"/>
                <w:sz w:val="18"/>
                <w:szCs w:val="18"/>
              </w:rPr>
              <w:t xml:space="preserve">  NZP-CSI-RS-ResourceId</w:t>
            </w:r>
            <w:r>
              <w:rPr>
                <w:rFonts w:ascii="Arial" w:hAnsi="Arial" w:eastAsia="Times New Roman" w:cs="Arial"/>
                <w:strike/>
                <w:color w:val="FF0000"/>
                <w:sz w:val="18"/>
                <w:szCs w:val="18"/>
              </w:rPr>
              <w:t xml:space="preserve"> (CSI-RS for beam management or CSI-RS for tracking) </w:t>
            </w:r>
            <w:r>
              <w:rPr>
                <w:rFonts w:ascii="Arial" w:hAnsi="Arial" w:eastAsia="Times New Roman" w:cs="Arial"/>
                <w:sz w:val="18"/>
                <w:szCs w:val="18"/>
              </w:rPr>
              <w:br w:type="textWrapping"/>
            </w:r>
            <w:r>
              <w:rPr>
                <w:rFonts w:ascii="Arial" w:hAnsi="Arial" w:eastAsia="Times New Roman" w:cs="Arial"/>
                <w:strike/>
                <w:color w:val="FF0000"/>
                <w:sz w:val="18"/>
                <w:szCs w:val="18"/>
              </w:rPr>
              <w:t>for UL TCI</w:t>
            </w:r>
            <w:r>
              <w:rPr>
                <w:rFonts w:ascii="Arial" w:hAnsi="Arial" w:eastAsia="Times New Roman" w:cs="Arial"/>
                <w:strike/>
                <w:color w:val="FF0000"/>
                <w:sz w:val="18"/>
                <w:szCs w:val="18"/>
              </w:rPr>
              <w:br w:type="textWrapping"/>
            </w:r>
            <w:r>
              <w:rPr>
                <w:rFonts w:ascii="Arial" w:hAnsi="Arial" w:eastAsia="Times New Roman" w:cs="Arial"/>
                <w:strike/>
                <w:color w:val="FF0000"/>
                <w:sz w:val="18"/>
                <w:szCs w:val="18"/>
              </w:rPr>
              <w:t xml:space="preserve">  NZP-CSI-RS-ResourceId (CSI-RS for beam management or CSI-RS for tracking)</w:t>
            </w:r>
            <w:r>
              <w:rPr>
                <w:rFonts w:ascii="Arial" w:hAnsi="Arial" w:eastAsia="Times New Roman" w:cs="Arial"/>
                <w:sz w:val="18"/>
                <w:szCs w:val="18"/>
              </w:rPr>
              <w:br w:type="textWrapping"/>
            </w:r>
            <w:r>
              <w:rPr>
                <w:rFonts w:ascii="Arial" w:hAnsi="Arial" w:eastAsia="Times New Roman" w:cs="Arial"/>
                <w:sz w:val="18"/>
                <w:szCs w:val="18"/>
              </w:rPr>
              <w:t xml:space="preserve">  SSB-Index </w:t>
            </w:r>
            <w:r>
              <w:rPr>
                <w:rFonts w:ascii="Arial" w:hAnsi="Arial" w:eastAsia="Times New Roman" w:cs="Arial"/>
                <w:sz w:val="18"/>
                <w:szCs w:val="18"/>
              </w:rPr>
              <w:br w:type="textWrapping"/>
            </w:r>
            <w:r>
              <w:rPr>
                <w:rFonts w:ascii="Arial" w:hAnsi="Arial" w:eastAsia="Times New Roman" w:cs="Arial"/>
                <w:sz w:val="18"/>
                <w:szCs w:val="18"/>
              </w:rPr>
              <w:t xml:space="preserve">  SRS ResourceId </w:t>
            </w:r>
            <w:r>
              <w:rPr>
                <w:rFonts w:ascii="Arial" w:hAnsi="Arial" w:eastAsia="Times New Roman" w:cs="Arial"/>
                <w:strike/>
                <w:color w:val="FF0000"/>
                <w:sz w:val="18"/>
                <w:szCs w:val="18"/>
              </w:rPr>
              <w:t>(SRS for beam management, only applicable for UL TCI)</w:t>
            </w:r>
            <w:r>
              <w:rPr>
                <w:rFonts w:ascii="Arial" w:hAnsi="Arial" w:eastAsia="Times New Roman" w:cs="Arial"/>
                <w:color w:val="FF0000"/>
                <w:sz w:val="18"/>
                <w:szCs w:val="18"/>
                <w:lang w:eastAsia="zh-TW"/>
              </w:rPr>
              <w:t xml:space="preserve">  only for applying to UL RS/channel</w:t>
            </w:r>
          </w:p>
          <w:p>
            <w:pPr>
              <w:spacing w:after="0" w:line="240" w:lineRule="auto"/>
              <w:rPr>
                <w:rFonts w:ascii="Arial" w:hAnsi="Arial" w:eastAsia="Times New Roman" w:cs="Arial"/>
                <w:color w:val="FF0000"/>
                <w:sz w:val="18"/>
                <w:szCs w:val="18"/>
              </w:rPr>
            </w:pPr>
            <w:r>
              <w:rPr>
                <w:rFonts w:ascii="Arial" w:hAnsi="Arial" w:eastAsia="Times New Roman" w:cs="Arial"/>
                <w:color w:val="FF0000"/>
                <w:sz w:val="18"/>
                <w:szCs w:val="18"/>
              </w:rPr>
              <w:t>}</w:t>
            </w:r>
          </w:p>
          <w:p>
            <w:pPr>
              <w:spacing w:after="0" w:line="240" w:lineRule="auto"/>
              <w:rPr>
                <w:rFonts w:ascii="Arial" w:hAnsi="Arial" w:eastAsia="Times New Roman" w:cs="Arial"/>
                <w:color w:val="FF0000"/>
                <w:sz w:val="18"/>
                <w:szCs w:val="18"/>
              </w:rPr>
            </w:pPr>
            <w:r>
              <w:rPr>
                <w:rFonts w:ascii="Arial" w:hAnsi="Arial" w:eastAsia="Times New Roman" w:cs="Arial"/>
                <w:b/>
                <w:bCs/>
                <w:sz w:val="18"/>
                <w:szCs w:val="18"/>
              </w:rPr>
              <w:t>qcl-Type</w:t>
            </w:r>
            <w:r>
              <w:rPr>
                <w:rFonts w:ascii="Arial" w:hAnsi="Arial" w:eastAsia="Times New Roman" w:cs="Arial"/>
                <w:sz w:val="18"/>
                <w:szCs w:val="18"/>
              </w:rPr>
              <w:t xml:space="preserve"> ENUMERATED {typeA, </w:t>
            </w:r>
            <w:r>
              <w:rPr>
                <w:rFonts w:ascii="Arial" w:hAnsi="Arial" w:eastAsia="Times New Roman" w:cs="Arial"/>
                <w:strike/>
                <w:color w:val="FF0000"/>
                <w:sz w:val="18"/>
                <w:szCs w:val="18"/>
              </w:rPr>
              <w:t>[</w:t>
            </w:r>
            <w:r>
              <w:rPr>
                <w:rFonts w:ascii="Arial" w:hAnsi="Arial" w:eastAsia="Times New Roman" w:cs="Arial"/>
                <w:sz w:val="18"/>
                <w:szCs w:val="18"/>
              </w:rPr>
              <w:t>typeB</w:t>
            </w:r>
            <w:r>
              <w:rPr>
                <w:rFonts w:ascii="Arial" w:hAnsi="Arial" w:eastAsia="Times New Roman" w:cs="Arial"/>
                <w:strike/>
                <w:color w:val="FF0000"/>
                <w:sz w:val="18"/>
                <w:szCs w:val="18"/>
              </w:rPr>
              <w:t>]</w:t>
            </w:r>
            <w:r>
              <w:rPr>
                <w:rFonts w:ascii="Arial" w:hAnsi="Arial" w:eastAsia="Times New Roman" w:cs="Arial"/>
                <w:sz w:val="18"/>
                <w:szCs w:val="18"/>
              </w:rPr>
              <w:t xml:space="preserve">, </w:t>
            </w:r>
            <w:r>
              <w:rPr>
                <w:rFonts w:ascii="Arial" w:hAnsi="Arial" w:eastAsia="Times New Roman" w:cs="Arial"/>
                <w:color w:val="FF0000"/>
                <w:sz w:val="18"/>
                <w:szCs w:val="18"/>
              </w:rPr>
              <w:t>typeC</w:t>
            </w:r>
            <w:r>
              <w:rPr>
                <w:rFonts w:ascii="Arial" w:hAnsi="Arial" w:eastAsia="Times New Roman" w:cs="Arial"/>
                <w:sz w:val="18"/>
                <w:szCs w:val="18"/>
              </w:rPr>
              <w:t xml:space="preserve">, typeD, </w:t>
            </w:r>
            <w:r>
              <w:rPr>
                <w:rFonts w:ascii="Arial" w:hAnsi="Arial" w:eastAsia="Times New Roman" w:cs="Arial"/>
                <w:color w:val="FF0000"/>
                <w:sz w:val="18"/>
                <w:szCs w:val="18"/>
                <w:lang w:eastAsia="zh-TW"/>
              </w:rPr>
              <w:t>UL spatial relation</w:t>
            </w:r>
            <w:r>
              <w:rPr>
                <w:rFonts w:ascii="Arial" w:hAnsi="Arial" w:eastAsia="Times New Roman" w:cs="Arial"/>
                <w:sz w:val="18"/>
                <w:szCs w:val="18"/>
              </w:rPr>
              <w:t>}</w:t>
            </w:r>
            <w:r>
              <w:rPr>
                <w:rFonts w:ascii="Arial" w:hAnsi="Arial" w:eastAsia="Times New Roman" w:cs="Arial"/>
                <w:sz w:val="18"/>
                <w:szCs w:val="18"/>
              </w:rPr>
              <w:br w:type="textWrapping"/>
            </w:r>
            <w:r>
              <w:rPr>
                <w:rFonts w:ascii="Arial" w:hAnsi="Arial" w:eastAsia="Times New Roman" w:cs="Arial"/>
                <w:sz w:val="18"/>
                <w:szCs w:val="18"/>
              </w:rPr>
              <w:t>[</w:t>
            </w:r>
            <w:r>
              <w:rPr>
                <w:rFonts w:ascii="Arial" w:hAnsi="Arial" w:eastAsia="Times New Roman" w:cs="Arial"/>
                <w:b/>
                <w:bCs/>
                <w:sz w:val="18"/>
                <w:szCs w:val="18"/>
              </w:rPr>
              <w:t>pathloss RS</w:t>
            </w:r>
            <w:r>
              <w:rPr>
                <w:rFonts w:ascii="Arial" w:hAnsi="Arial" w:eastAsia="Times New Roman" w:cs="Arial"/>
                <w:sz w:val="18"/>
                <w:szCs w:val="18"/>
              </w:rPr>
              <w:t xml:space="preserve"> - if included in TCI state </w:t>
            </w:r>
            <w:r>
              <w:rPr>
                <w:rFonts w:ascii="Arial" w:hAnsi="Arial" w:eastAsia="Times New Roman" w:cs="Arial"/>
                <w:strike/>
                <w:color w:val="FF0000"/>
                <w:sz w:val="18"/>
                <w:szCs w:val="18"/>
              </w:rPr>
              <w:t>- for UL TCI state or Joint TCI state</w:t>
            </w:r>
            <w:r>
              <w:rPr>
                <w:rFonts w:ascii="Arial" w:hAnsi="Arial" w:eastAsia="Times New Roman" w:cs="Arial"/>
                <w:color w:val="FF0000"/>
                <w:sz w:val="18"/>
                <w:szCs w:val="18"/>
              </w:rPr>
              <w:t xml:space="preserve"> </w:t>
            </w:r>
          </w:p>
          <w:p>
            <w:pPr>
              <w:spacing w:after="0" w:line="240" w:lineRule="auto"/>
              <w:rPr>
                <w:rFonts w:ascii="Arial" w:hAnsi="Arial" w:eastAsia="Times New Roman" w:cs="Arial"/>
                <w:sz w:val="18"/>
                <w:szCs w:val="18"/>
              </w:rPr>
            </w:pPr>
            <w:r>
              <w:rPr>
                <w:rFonts w:ascii="Arial" w:hAnsi="Arial" w:eastAsia="Times New Roman" w:cs="Arial"/>
                <w:sz w:val="18"/>
                <w:szCs w:val="18"/>
              </w:rPr>
              <w:t>choice of</w:t>
            </w:r>
            <w:r>
              <w:rPr>
                <w:rFonts w:ascii="Arial" w:hAnsi="Arial" w:eastAsia="Times New Roman" w:cs="Arial"/>
                <w:sz w:val="18"/>
                <w:szCs w:val="18"/>
              </w:rPr>
              <w:br w:type="textWrapping"/>
            </w:r>
            <w:r>
              <w:rPr>
                <w:rFonts w:ascii="Arial" w:hAnsi="Arial" w:eastAsia="Times New Roman" w:cs="Arial"/>
                <w:sz w:val="18"/>
                <w:szCs w:val="18"/>
              </w:rPr>
              <w:t>SSB-Index</w:t>
            </w:r>
            <w:r>
              <w:rPr>
                <w:rFonts w:ascii="Arial" w:hAnsi="Arial" w:eastAsia="Times New Roman" w:cs="Arial"/>
                <w:sz w:val="18"/>
                <w:szCs w:val="18"/>
              </w:rPr>
              <w:br w:type="textWrapping"/>
            </w:r>
            <w:r>
              <w:rPr>
                <w:rFonts w:ascii="Arial" w:hAnsi="Arial" w:eastAsia="Times New Roman" w:cs="Arial"/>
                <w:sz w:val="18"/>
                <w:szCs w:val="18"/>
              </w:rPr>
              <w:t>NZP-CSI-RS (periodic CSI-RS)]</w:t>
            </w:r>
          </w:p>
        </w:tc>
      </w:tr>
      <w:tr>
        <w:tblPrEx>
          <w:shd w:val="clear" w:color="auto" w:fill="FFFFFF" w:themeFill="background1"/>
          <w:tblCellMar>
            <w:top w:w="0" w:type="dxa"/>
            <w:left w:w="108" w:type="dxa"/>
            <w:bottom w:w="0" w:type="dxa"/>
            <w:right w:w="108" w:type="dxa"/>
          </w:tblCellMar>
        </w:tblPrEx>
        <w:trPr>
          <w:trHeight w:val="61" w:hRule="atLeast"/>
        </w:trPr>
        <w:tc>
          <w:tcPr>
            <w:tcW w:w="292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maxNrofTCI-States_r17</w:t>
            </w:r>
          </w:p>
        </w:tc>
        <w:tc>
          <w:tcPr>
            <w:tcW w:w="6431"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 xml:space="preserve">Maximum number of TCI states – </w:t>
            </w:r>
            <w:r>
              <w:rPr>
                <w:rFonts w:ascii="Arial" w:hAnsi="Arial" w:eastAsia="Times New Roman" w:cs="Arial"/>
                <w:color w:val="FF0000"/>
                <w:sz w:val="18"/>
                <w:szCs w:val="18"/>
              </w:rPr>
              <w:t>value range: 256.</w:t>
            </w:r>
          </w:p>
        </w:tc>
      </w:tr>
    </w:tbl>
    <w:p>
      <w:pPr>
        <w:spacing w:before="120"/>
        <w:rPr>
          <w:i/>
        </w:rPr>
      </w:pPr>
      <w:r>
        <w:rPr>
          <w:b/>
          <w:i/>
        </w:rPr>
        <w:t>Proposal 20</w:t>
      </w:r>
      <w:r>
        <w:rPr>
          <w:rFonts w:hint="eastAsia"/>
          <w:b/>
          <w:i/>
        </w:rPr>
        <w:t xml:space="preserve">: </w:t>
      </w:r>
      <w:r>
        <w:rPr>
          <w:i/>
        </w:rPr>
        <w:t xml:space="preserve">For RRC configuration for UL power control, </w:t>
      </w:r>
    </w:p>
    <w:p>
      <w:pPr>
        <w:pStyle w:val="111"/>
        <w:numPr>
          <w:ilvl w:val="0"/>
          <w:numId w:val="25"/>
        </w:numPr>
        <w:spacing w:before="120" w:beforeLines="50" w:after="120" w:line="300" w:lineRule="auto"/>
        <w:ind w:firstLineChars="0"/>
        <w:jc w:val="both"/>
        <w:rPr>
          <w:i/>
        </w:rPr>
      </w:pPr>
      <w:r>
        <w:rPr>
          <w:i/>
        </w:rPr>
        <w:t>Option-1: MAC-CE based association for UL power control parameter(s) is supported, and the following modification for RRC parameter is proposed in red</w:t>
      </w:r>
    </w:p>
    <w:tbl>
      <w:tblPr>
        <w:tblStyle w:val="23"/>
        <w:tblW w:w="8789" w:type="dxa"/>
        <w:tblInd w:w="704" w:type="dxa"/>
        <w:tblLayout w:type="autofit"/>
        <w:tblCellMar>
          <w:top w:w="0" w:type="dxa"/>
          <w:left w:w="108" w:type="dxa"/>
          <w:bottom w:w="0" w:type="dxa"/>
          <w:right w:w="108" w:type="dxa"/>
        </w:tblCellMar>
      </w:tblPr>
      <w:tblGrid>
        <w:gridCol w:w="2368"/>
        <w:gridCol w:w="6421"/>
      </w:tblGrid>
      <w:tr>
        <w:tblPrEx>
          <w:tblCellMar>
            <w:top w:w="0" w:type="dxa"/>
            <w:left w:w="108" w:type="dxa"/>
            <w:bottom w:w="0" w:type="dxa"/>
            <w:right w:w="108" w:type="dxa"/>
          </w:tblCellMar>
        </w:tblPrEx>
        <w:trPr>
          <w:trHeight w:val="1074" w:hRule="atLeast"/>
        </w:trPr>
        <w:tc>
          <w:tcPr>
            <w:tcW w:w="236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p0_Alpha_CLIdPUSCHSet</w:t>
            </w:r>
          </w:p>
        </w:tc>
        <w:tc>
          <w:tcPr>
            <w:tcW w:w="6421"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Set of P0, alpha and closed loop index which includes</w:t>
            </w:r>
            <w:r>
              <w:rPr>
                <w:rFonts w:ascii="Arial" w:hAnsi="Arial" w:eastAsia="Times New Roman" w:cs="Arial"/>
                <w:sz w:val="18"/>
                <w:szCs w:val="18"/>
              </w:rPr>
              <w:br w:type="textWrapping"/>
            </w:r>
            <w:r>
              <w:rPr>
                <w:rFonts w:ascii="Arial" w:hAnsi="Arial" w:eastAsia="Times New Roman" w:cs="Arial"/>
                <w:sz w:val="18"/>
                <w:szCs w:val="18"/>
              </w:rPr>
              <w:t>p0_Alpha_CLIdPUSCHSetId</w:t>
            </w:r>
            <w:r>
              <w:rPr>
                <w:rFonts w:ascii="Arial" w:hAnsi="Arial" w:eastAsia="Times New Roman" w:cs="Arial"/>
                <w:sz w:val="18"/>
                <w:szCs w:val="18"/>
              </w:rPr>
              <w:br w:type="textWrapping"/>
            </w:r>
            <w:r>
              <w:rPr>
                <w:rFonts w:ascii="Arial" w:hAnsi="Arial" w:eastAsia="Times New Roman" w:cs="Arial"/>
                <w:sz w:val="18"/>
                <w:szCs w:val="18"/>
              </w:rPr>
              <w:t>p0 INTEGER in range (-16 … 15)</w:t>
            </w:r>
            <w:r>
              <w:rPr>
                <w:rFonts w:ascii="Arial" w:hAnsi="Arial" w:eastAsia="Times New Roman" w:cs="Arial"/>
                <w:sz w:val="18"/>
                <w:szCs w:val="18"/>
              </w:rPr>
              <w:br w:type="textWrapping"/>
            </w:r>
            <w:r>
              <w:rPr>
                <w:rFonts w:ascii="Arial" w:hAnsi="Arial" w:eastAsia="Times New Roman" w:cs="Arial"/>
                <w:sz w:val="18"/>
                <w:szCs w:val="18"/>
              </w:rPr>
              <w:t>alpha of type Alpha</w:t>
            </w:r>
            <w:r>
              <w:rPr>
                <w:rFonts w:ascii="Arial" w:hAnsi="Arial" w:eastAsia="Times New Roman" w:cs="Arial"/>
                <w:sz w:val="18"/>
                <w:szCs w:val="18"/>
              </w:rPr>
              <w:br w:type="textWrapping"/>
            </w:r>
            <w:r>
              <w:rPr>
                <w:rFonts w:ascii="Arial" w:hAnsi="Arial" w:eastAsia="Times New Roman" w:cs="Arial"/>
                <w:sz w:val="18"/>
                <w:szCs w:val="18"/>
              </w:rPr>
              <w:t>CLId ENUMERATE (0,1)</w:t>
            </w:r>
          </w:p>
        </w:tc>
      </w:tr>
      <w:tr>
        <w:tblPrEx>
          <w:tblCellMar>
            <w:top w:w="0" w:type="dxa"/>
            <w:left w:w="108" w:type="dxa"/>
            <w:bottom w:w="0" w:type="dxa"/>
            <w:right w:w="108" w:type="dxa"/>
          </w:tblCellMar>
        </w:tblPrEx>
        <w:trPr>
          <w:trHeight w:val="1176" w:hRule="atLeast"/>
        </w:trPr>
        <w:tc>
          <w:tcPr>
            <w:tcW w:w="2368"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p0</w:t>
            </w:r>
            <w:r>
              <w:rPr>
                <w:rFonts w:ascii="Arial" w:hAnsi="Arial" w:eastAsia="Times New Roman" w:cs="Arial"/>
                <w:strike/>
                <w:color w:val="FF0000"/>
                <w:sz w:val="18"/>
                <w:szCs w:val="18"/>
              </w:rPr>
              <w:t>_Alpha</w:t>
            </w:r>
            <w:r>
              <w:rPr>
                <w:rFonts w:ascii="Arial" w:hAnsi="Arial" w:eastAsia="Times New Roman" w:cs="Arial"/>
                <w:sz w:val="18"/>
                <w:szCs w:val="18"/>
              </w:rPr>
              <w:t>_CLIdPUCCHSet</w:t>
            </w:r>
          </w:p>
        </w:tc>
        <w:tc>
          <w:tcPr>
            <w:tcW w:w="6421"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Set of P0, alpha and closed loop index which includes</w:t>
            </w:r>
            <w:r>
              <w:rPr>
                <w:rFonts w:ascii="Arial" w:hAnsi="Arial" w:eastAsia="Times New Roman" w:cs="Arial"/>
                <w:sz w:val="18"/>
                <w:szCs w:val="18"/>
              </w:rPr>
              <w:br w:type="textWrapping"/>
            </w:r>
            <w:r>
              <w:rPr>
                <w:rFonts w:ascii="Arial" w:hAnsi="Arial" w:eastAsia="Times New Roman" w:cs="Arial"/>
                <w:sz w:val="18"/>
                <w:szCs w:val="18"/>
              </w:rPr>
              <w:t>p0_Alpha_CLIdPUCCHSetId</w:t>
            </w:r>
            <w:r>
              <w:rPr>
                <w:rFonts w:ascii="Arial" w:hAnsi="Arial" w:eastAsia="Times New Roman" w:cs="Arial"/>
                <w:sz w:val="18"/>
                <w:szCs w:val="18"/>
              </w:rPr>
              <w:br w:type="textWrapping"/>
            </w:r>
            <w:r>
              <w:rPr>
                <w:rFonts w:ascii="Arial" w:hAnsi="Arial" w:eastAsia="Times New Roman" w:cs="Arial"/>
                <w:sz w:val="18"/>
                <w:szCs w:val="18"/>
              </w:rPr>
              <w:t>p0 INTEGER in range (-16 … 15)</w:t>
            </w:r>
            <w:r>
              <w:rPr>
                <w:rFonts w:ascii="Arial" w:hAnsi="Arial" w:eastAsia="Times New Roman" w:cs="Arial"/>
                <w:sz w:val="18"/>
                <w:szCs w:val="18"/>
              </w:rPr>
              <w:br w:type="textWrapping"/>
            </w:r>
            <w:r>
              <w:rPr>
                <w:rFonts w:ascii="Arial" w:hAnsi="Arial" w:eastAsia="Times New Roman" w:cs="Arial"/>
                <w:strike/>
                <w:color w:val="FF0000"/>
                <w:sz w:val="18"/>
                <w:szCs w:val="18"/>
              </w:rPr>
              <w:t>[alpha of type Alpha]</w:t>
            </w:r>
            <w:r>
              <w:rPr>
                <w:rFonts w:ascii="Arial" w:hAnsi="Arial" w:eastAsia="Times New Roman" w:cs="Arial"/>
                <w:sz w:val="18"/>
                <w:szCs w:val="18"/>
              </w:rPr>
              <w:br w:type="textWrapping"/>
            </w:r>
            <w:r>
              <w:rPr>
                <w:rFonts w:ascii="Arial" w:hAnsi="Arial" w:eastAsia="Times New Roman" w:cs="Arial"/>
                <w:sz w:val="18"/>
                <w:szCs w:val="18"/>
              </w:rPr>
              <w:t>CLId ENUMERATE (0,1)</w:t>
            </w:r>
          </w:p>
        </w:tc>
      </w:tr>
      <w:tr>
        <w:tblPrEx>
          <w:tblCellMar>
            <w:top w:w="0" w:type="dxa"/>
            <w:left w:w="108" w:type="dxa"/>
            <w:bottom w:w="0" w:type="dxa"/>
            <w:right w:w="108" w:type="dxa"/>
          </w:tblCellMar>
        </w:tblPrEx>
        <w:trPr>
          <w:trHeight w:val="956" w:hRule="atLeast"/>
        </w:trPr>
        <w:tc>
          <w:tcPr>
            <w:tcW w:w="2368"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p0_Alpha_CLIdSRSSet</w:t>
            </w:r>
          </w:p>
        </w:tc>
        <w:tc>
          <w:tcPr>
            <w:tcW w:w="6421"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Set of P0, alpha and closed loop index which includes</w:t>
            </w:r>
            <w:r>
              <w:rPr>
                <w:rFonts w:ascii="Arial" w:hAnsi="Arial" w:eastAsia="Times New Roman" w:cs="Arial"/>
                <w:sz w:val="18"/>
                <w:szCs w:val="18"/>
              </w:rPr>
              <w:br w:type="textWrapping"/>
            </w:r>
            <w:r>
              <w:rPr>
                <w:rFonts w:ascii="Arial" w:hAnsi="Arial" w:eastAsia="Times New Roman" w:cs="Arial"/>
                <w:sz w:val="18"/>
                <w:szCs w:val="18"/>
              </w:rPr>
              <w:t>p0_Alpha_CLIdSRSSetId</w:t>
            </w:r>
            <w:r>
              <w:rPr>
                <w:rFonts w:ascii="Arial" w:hAnsi="Arial" w:eastAsia="Times New Roman" w:cs="Arial"/>
                <w:sz w:val="18"/>
                <w:szCs w:val="18"/>
              </w:rPr>
              <w:br w:type="textWrapping"/>
            </w:r>
            <w:r>
              <w:rPr>
                <w:rFonts w:ascii="Arial" w:hAnsi="Arial" w:eastAsia="Times New Roman" w:cs="Arial"/>
                <w:sz w:val="18"/>
                <w:szCs w:val="18"/>
              </w:rPr>
              <w:t>p0 INTEGER in range (-16 … 15)</w:t>
            </w:r>
            <w:r>
              <w:rPr>
                <w:rFonts w:ascii="Arial" w:hAnsi="Arial" w:eastAsia="Times New Roman" w:cs="Arial"/>
                <w:sz w:val="18"/>
                <w:szCs w:val="18"/>
              </w:rPr>
              <w:br w:type="textWrapping"/>
            </w:r>
            <w:r>
              <w:rPr>
                <w:rFonts w:ascii="Arial" w:hAnsi="Arial" w:eastAsia="Times New Roman" w:cs="Arial"/>
                <w:sz w:val="18"/>
                <w:szCs w:val="18"/>
              </w:rPr>
              <w:t>alpha of type Alpha</w:t>
            </w:r>
            <w:r>
              <w:rPr>
                <w:rFonts w:ascii="Arial" w:hAnsi="Arial" w:eastAsia="Times New Roman" w:cs="Arial"/>
                <w:sz w:val="18"/>
                <w:szCs w:val="18"/>
              </w:rPr>
              <w:br w:type="textWrapping"/>
            </w:r>
            <w:r>
              <w:rPr>
                <w:rFonts w:ascii="Arial" w:hAnsi="Arial" w:eastAsia="Times New Roman" w:cs="Arial"/>
                <w:sz w:val="18"/>
                <w:szCs w:val="18"/>
              </w:rPr>
              <w:t>CLId ENUMERATE (0,1)</w:t>
            </w:r>
          </w:p>
        </w:tc>
      </w:tr>
      <w:tr>
        <w:tblPrEx>
          <w:tblCellMar>
            <w:top w:w="0" w:type="dxa"/>
            <w:left w:w="108" w:type="dxa"/>
            <w:bottom w:w="0" w:type="dxa"/>
            <w:right w:w="108" w:type="dxa"/>
          </w:tblCellMar>
        </w:tblPrEx>
        <w:trPr>
          <w:trHeight w:val="602" w:hRule="atLeast"/>
        </w:trPr>
        <w:tc>
          <w:tcPr>
            <w:tcW w:w="2368"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p0_Alpha_CLIdSetId</w:t>
            </w:r>
          </w:p>
        </w:tc>
        <w:tc>
          <w:tcPr>
            <w:tcW w:w="6421"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p0_Alpha_CLIdSet ID</w:t>
            </w:r>
          </w:p>
        </w:tc>
      </w:tr>
    </w:tbl>
    <w:p>
      <w:pPr>
        <w:pStyle w:val="111"/>
        <w:numPr>
          <w:ilvl w:val="0"/>
          <w:numId w:val="25"/>
        </w:numPr>
        <w:spacing w:before="120" w:beforeLines="50" w:after="120" w:line="300" w:lineRule="auto"/>
        <w:ind w:firstLineChars="0"/>
        <w:jc w:val="both"/>
        <w:rPr>
          <w:i/>
        </w:rPr>
      </w:pPr>
      <w:r>
        <w:rPr>
          <w:i/>
        </w:rPr>
        <w:t>Option-2: RRC based association for UL power control parameter(s) is supported, and the following new RRC parameter is proposed.</w:t>
      </w:r>
    </w:p>
    <w:tbl>
      <w:tblPr>
        <w:tblStyle w:val="23"/>
        <w:tblW w:w="8789" w:type="dxa"/>
        <w:tblInd w:w="704" w:type="dxa"/>
        <w:tblLayout w:type="autofit"/>
        <w:tblCellMar>
          <w:top w:w="0" w:type="dxa"/>
          <w:left w:w="108" w:type="dxa"/>
          <w:bottom w:w="0" w:type="dxa"/>
          <w:right w:w="108" w:type="dxa"/>
        </w:tblCellMar>
      </w:tblPr>
      <w:tblGrid>
        <w:gridCol w:w="2368"/>
        <w:gridCol w:w="6421"/>
      </w:tblGrid>
      <w:tr>
        <w:tblPrEx>
          <w:tblCellMar>
            <w:top w:w="0" w:type="dxa"/>
            <w:left w:w="108" w:type="dxa"/>
            <w:bottom w:w="0" w:type="dxa"/>
            <w:right w:w="108" w:type="dxa"/>
          </w:tblCellMar>
        </w:tblPrEx>
        <w:trPr>
          <w:trHeight w:val="1074" w:hRule="atLeast"/>
        </w:trPr>
        <w:tc>
          <w:tcPr>
            <w:tcW w:w="236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szCs w:val="18"/>
              </w:rPr>
            </w:pPr>
            <w:r>
              <w:rPr>
                <w:rFonts w:ascii="Arial" w:hAnsi="Arial" w:eastAsia="Times New Roman" w:cs="Arial"/>
                <w:sz w:val="18"/>
                <w:szCs w:val="18"/>
                <w:lang w:eastAsia="zh-TW"/>
              </w:rPr>
              <w:t>TCI-State-PUSCH-PUCCH-SRS-PowerControl</w:t>
            </w:r>
          </w:p>
        </w:tc>
        <w:tc>
          <w:tcPr>
            <w:tcW w:w="6421"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b/>
                <w:bCs/>
                <w:sz w:val="18"/>
                <w:szCs w:val="18"/>
                <w:lang w:eastAsia="zh-TW"/>
              </w:rPr>
            </w:pPr>
            <w:r>
              <w:rPr>
                <w:rFonts w:ascii="Arial" w:hAnsi="Arial" w:eastAsia="Times New Roman" w:cs="Arial"/>
                <w:sz w:val="18"/>
                <w:szCs w:val="18"/>
                <w:lang w:eastAsia="zh-TW"/>
              </w:rPr>
              <w:t>TCI-State-PUSCH-PUCCH-SRS-PowerControl includes the following fields:</w:t>
            </w:r>
            <w:r>
              <w:rPr>
                <w:rFonts w:ascii="Arial" w:hAnsi="Arial" w:eastAsia="Times New Roman" w:cs="Arial"/>
                <w:sz w:val="18"/>
                <w:szCs w:val="18"/>
                <w:lang w:eastAsia="zh-TW"/>
              </w:rPr>
              <w:br w:type="textWrapping"/>
            </w:r>
            <w:r>
              <w:rPr>
                <w:rFonts w:ascii="Arial" w:hAnsi="Arial" w:eastAsia="Times New Roman" w:cs="Arial"/>
                <w:b/>
                <w:bCs/>
                <w:sz w:val="18"/>
                <w:szCs w:val="18"/>
                <w:lang w:eastAsia="zh-TW"/>
              </w:rPr>
              <w:t>tci-StateId_r17</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P0-PUSCH-AlphaSetId</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 xml:space="preserve">PUSCH-ClosedLoopIndex           </w:t>
            </w:r>
            <w:r>
              <w:rPr>
                <w:rFonts w:ascii="Arial" w:hAnsi="Arial" w:eastAsia="Times New Roman" w:cs="Arial"/>
                <w:sz w:val="18"/>
                <w:szCs w:val="18"/>
                <w:lang w:eastAsia="zh-TW"/>
              </w:rPr>
              <w:t>ENUMERATED { i0, i1 }</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P0-PUCCH-Id</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 xml:space="preserve">PUCCH-ClosedLoopIndex           </w:t>
            </w:r>
            <w:r>
              <w:rPr>
                <w:rFonts w:ascii="Arial" w:hAnsi="Arial" w:eastAsia="Times New Roman" w:cs="Arial"/>
                <w:sz w:val="18"/>
                <w:szCs w:val="18"/>
                <w:lang w:eastAsia="zh-TW"/>
              </w:rPr>
              <w:t>ENUMERATED { i0, i1 }</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Alpha-SRS</w:t>
            </w:r>
          </w:p>
          <w:p>
            <w:pPr>
              <w:spacing w:after="0" w:line="240" w:lineRule="auto"/>
              <w:rPr>
                <w:rFonts w:ascii="Arial" w:hAnsi="Arial" w:eastAsia="Times New Roman" w:cs="Arial"/>
                <w:b/>
                <w:bCs/>
                <w:sz w:val="18"/>
                <w:szCs w:val="18"/>
                <w:lang w:eastAsia="zh-TW"/>
              </w:rPr>
            </w:pPr>
            <w:r>
              <w:rPr>
                <w:rFonts w:ascii="Arial" w:hAnsi="Arial" w:eastAsia="Times New Roman" w:cs="Arial"/>
                <w:b/>
                <w:bCs/>
                <w:sz w:val="18"/>
                <w:szCs w:val="18"/>
                <w:lang w:eastAsia="zh-TW"/>
              </w:rPr>
              <w:t>P0-SRS</w:t>
            </w:r>
          </w:p>
          <w:p>
            <w:pPr>
              <w:spacing w:after="0" w:line="240" w:lineRule="auto"/>
              <w:rPr>
                <w:rFonts w:ascii="Arial" w:hAnsi="Arial" w:eastAsia="Times New Roman" w:cs="Arial"/>
                <w:sz w:val="18"/>
                <w:szCs w:val="18"/>
                <w:lang w:eastAsia="zh-TW"/>
              </w:rPr>
            </w:pPr>
            <w:r>
              <w:rPr>
                <w:rFonts w:ascii="Arial" w:hAnsi="Arial" w:eastAsia="Times New Roman" w:cs="Arial"/>
                <w:b/>
                <w:bCs/>
                <w:sz w:val="18"/>
                <w:szCs w:val="18"/>
                <w:lang w:eastAsia="zh-TW"/>
              </w:rPr>
              <w:t xml:space="preserve">srs-PowerControlAdjustmentStates        </w:t>
            </w:r>
            <w:r>
              <w:rPr>
                <w:rFonts w:ascii="Arial" w:hAnsi="Arial" w:eastAsia="Times New Roman" w:cs="Arial"/>
                <w:sz w:val="18"/>
                <w:szCs w:val="18"/>
                <w:lang w:eastAsia="zh-TW"/>
              </w:rPr>
              <w:t>ENUMERATED { sameAsFci2, separateClosedLoop}</w:t>
            </w:r>
          </w:p>
          <w:p>
            <w:pPr>
              <w:spacing w:after="0" w:line="240" w:lineRule="auto"/>
              <w:rPr>
                <w:rFonts w:ascii="Arial" w:hAnsi="Arial" w:eastAsia="Times New Roman" w:cs="Arial"/>
                <w:sz w:val="18"/>
                <w:szCs w:val="18"/>
                <w:lang w:eastAsia="zh-TW"/>
              </w:rPr>
            </w:pPr>
            <w:r>
              <w:rPr>
                <w:rFonts w:ascii="Arial" w:hAnsi="Arial" w:eastAsia="Times New Roman" w:cs="Arial"/>
                <w:b/>
                <w:bCs/>
                <w:sz w:val="18"/>
                <w:szCs w:val="18"/>
                <w:lang w:eastAsia="zh-TW"/>
              </w:rPr>
              <w:t>pathloss RS</w:t>
            </w:r>
            <w:r>
              <w:rPr>
                <w:bCs/>
                <w:sz w:val="18"/>
              </w:rPr>
              <w:t xml:space="preserve">     </w:t>
            </w:r>
            <w:r>
              <w:rPr>
                <w:rFonts w:ascii="Arial" w:hAnsi="Arial" w:eastAsia="Times New Roman" w:cs="Arial"/>
                <w:sz w:val="18"/>
                <w:szCs w:val="18"/>
                <w:lang w:eastAsia="zh-TW"/>
              </w:rPr>
              <w:t>- choice of {SSB-Index, NZP-CSI-RS (periodic CSI-RS)}</w:t>
            </w:r>
          </w:p>
          <w:p>
            <w:pPr>
              <w:spacing w:after="0" w:line="240" w:lineRule="auto"/>
              <w:rPr>
                <w:rFonts w:ascii="Arial" w:hAnsi="Arial" w:eastAsia="Times New Roman" w:cs="Arial"/>
                <w:sz w:val="18"/>
                <w:szCs w:val="18"/>
              </w:rPr>
            </w:pPr>
          </w:p>
        </w:tc>
      </w:tr>
    </w:tbl>
    <w:p>
      <w:pPr>
        <w:spacing w:before="120"/>
        <w:rPr>
          <w:i/>
        </w:rPr>
      </w:pPr>
      <w:r>
        <w:rPr>
          <w:b/>
          <w:i/>
        </w:rPr>
        <w:t>Proposal 21</w:t>
      </w:r>
      <w:r>
        <w:rPr>
          <w:rFonts w:hint="eastAsia"/>
          <w:b/>
          <w:i/>
        </w:rPr>
        <w:t xml:space="preserve">: </w:t>
      </w:r>
      <w:r>
        <w:rPr>
          <w:i/>
        </w:rPr>
        <w:t xml:space="preserve">For applicable scope of an indicated TCI state, </w:t>
      </w:r>
    </w:p>
    <w:p>
      <w:pPr>
        <w:pStyle w:val="111"/>
        <w:numPr>
          <w:ilvl w:val="0"/>
          <w:numId w:val="25"/>
        </w:numPr>
        <w:spacing w:before="120" w:beforeLines="50" w:after="120" w:line="300" w:lineRule="auto"/>
        <w:ind w:firstLineChars="0"/>
        <w:jc w:val="both"/>
        <w:rPr>
          <w:i/>
        </w:rPr>
      </w:pPr>
      <w:r>
        <w:rPr>
          <w:i/>
        </w:rPr>
        <w:t>Regarding TCI-StateIndicationType, ControlResourceSet, CSI-AssociatedReportConfigInfo, NZP-CSI-RS-Resource, and PDSCH-Config, a new TCI-state list can be introduced directly rather than replacing the legacy one;</w:t>
      </w:r>
    </w:p>
    <w:p>
      <w:pPr>
        <w:pStyle w:val="111"/>
        <w:numPr>
          <w:ilvl w:val="0"/>
          <w:numId w:val="25"/>
        </w:numPr>
        <w:spacing w:before="120" w:beforeLines="50" w:after="120" w:line="300" w:lineRule="auto"/>
        <w:ind w:firstLineChars="0"/>
        <w:jc w:val="both"/>
        <w:rPr>
          <w:i/>
        </w:rPr>
      </w:pPr>
      <w:r>
        <w:rPr>
          <w:i/>
        </w:rPr>
        <w:t>Regarding TimeDurationForQCL_r17, in order to improving flexibility of the application time, the parameter TimeDurationForQCL_r17 is introduced in PDSCH-TimeDomainResourceAllocation.</w:t>
      </w:r>
    </w:p>
    <w:p>
      <w:pPr>
        <w:pStyle w:val="111"/>
        <w:numPr>
          <w:ilvl w:val="0"/>
          <w:numId w:val="25"/>
        </w:numPr>
        <w:spacing w:before="120" w:beforeLines="50" w:after="120" w:line="300" w:lineRule="auto"/>
        <w:ind w:firstLineChars="0"/>
        <w:jc w:val="both"/>
        <w:rPr>
          <w:i/>
        </w:rPr>
      </w:pPr>
      <w:r>
        <w:rPr>
          <w:i/>
        </w:rPr>
        <w:t>Regarding TCI-StateSharingList and ApplyTCI-State-r17forSRS, we are open to further consider those two parameters.</w:t>
      </w:r>
    </w:p>
    <w:p>
      <w:pPr>
        <w:spacing w:before="120"/>
        <w:rPr>
          <w:i/>
        </w:rPr>
      </w:pPr>
      <w:r>
        <w:rPr>
          <w:b/>
          <w:i/>
        </w:rPr>
        <w:t>Proposal 22</w:t>
      </w:r>
      <w:r>
        <w:rPr>
          <w:rFonts w:hint="eastAsia"/>
          <w:b/>
          <w:i/>
        </w:rPr>
        <w:t xml:space="preserve">: </w:t>
      </w:r>
      <w:r>
        <w:rPr>
          <w:i/>
        </w:rPr>
        <w:t>For inter-cell beam management, the following modification is proposed in red</w:t>
      </w:r>
    </w:p>
    <w:tbl>
      <w:tblPr>
        <w:tblStyle w:val="23"/>
        <w:tblW w:w="9351" w:type="dxa"/>
        <w:tblInd w:w="0" w:type="dxa"/>
        <w:shd w:val="clear" w:color="auto" w:fill="FFFFFF" w:themeFill="background1"/>
        <w:tblLayout w:type="autofit"/>
        <w:tblCellMar>
          <w:top w:w="0" w:type="dxa"/>
          <w:left w:w="108" w:type="dxa"/>
          <w:bottom w:w="0" w:type="dxa"/>
          <w:right w:w="108" w:type="dxa"/>
        </w:tblCellMar>
      </w:tblPr>
      <w:tblGrid>
        <w:gridCol w:w="3116"/>
        <w:gridCol w:w="6235"/>
      </w:tblGrid>
      <w:tr>
        <w:tblPrEx>
          <w:shd w:val="clear" w:color="auto" w:fill="FFFFFF" w:themeFill="background1"/>
          <w:tblCellMar>
            <w:top w:w="0" w:type="dxa"/>
            <w:left w:w="108" w:type="dxa"/>
            <w:bottom w:w="0" w:type="dxa"/>
            <w:right w:w="108" w:type="dxa"/>
          </w:tblCellMar>
        </w:tblPrEx>
        <w:trPr>
          <w:trHeight w:val="750" w:hRule="atLeast"/>
        </w:trPr>
        <w:tc>
          <w:tcPr>
            <w:tcW w:w="292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InterCellBeamMetrics</w:t>
            </w:r>
          </w:p>
        </w:tc>
        <w:tc>
          <w:tcPr>
            <w:tcW w:w="6431" w:type="dxa"/>
            <w:tcBorders>
              <w:top w:val="single" w:color="auto" w:sz="4" w:space="0"/>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Number of inter-cell beam management metrics</w:t>
            </w:r>
          </w:p>
        </w:tc>
      </w:tr>
      <w:tr>
        <w:tblPrEx>
          <w:shd w:val="clear" w:color="auto" w:fill="FFFFFF" w:themeFill="background1"/>
          <w:tblCellMar>
            <w:top w:w="0" w:type="dxa"/>
            <w:left w:w="108" w:type="dxa"/>
            <w:bottom w:w="0" w:type="dxa"/>
            <w:right w:w="108" w:type="dxa"/>
          </w:tblCellMar>
        </w:tblPrEx>
        <w:trPr>
          <w:trHeight w:val="75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InterCellMeasurementRS</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List of measurement RS for inter-cell beam management of type SSB-Index</w:t>
            </w:r>
          </w:p>
        </w:tc>
      </w:tr>
      <w:tr>
        <w:tblPrEx>
          <w:shd w:val="clear" w:color="auto" w:fill="FFFFFF" w:themeFill="background1"/>
          <w:tblCellMar>
            <w:top w:w="0" w:type="dxa"/>
            <w:left w:w="108" w:type="dxa"/>
            <w:bottom w:w="0" w:type="dxa"/>
            <w:right w:w="108" w:type="dxa"/>
          </w:tblCellMar>
        </w:tblPrEx>
        <w:trPr>
          <w:trHeight w:val="75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InterCellReportType</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strike/>
                <w:color w:val="FF0000"/>
                <w:sz w:val="18"/>
                <w:szCs w:val="18"/>
              </w:rPr>
              <w:t>Inter-cell beam management report type</w:t>
            </w:r>
          </w:p>
        </w:tc>
      </w:tr>
      <w:tr>
        <w:tblPrEx>
          <w:shd w:val="clear" w:color="auto" w:fill="FFFFFF" w:themeFill="background1"/>
          <w:tblCellMar>
            <w:top w:w="0" w:type="dxa"/>
            <w:left w:w="108" w:type="dxa"/>
            <w:bottom w:w="0" w:type="dxa"/>
            <w:right w:w="108" w:type="dxa"/>
          </w:tblCellMar>
        </w:tblPrEx>
        <w:trPr>
          <w:trHeight w:val="75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color w:val="FF0000"/>
              </w:rPr>
              <w:t>SSB-Index_r17</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trike/>
                <w:color w:val="FF0000"/>
                <w:sz w:val="18"/>
                <w:szCs w:val="18"/>
              </w:rPr>
            </w:pPr>
            <w:r>
              <w:rPr>
                <w:rFonts w:ascii="Arial" w:hAnsi="Arial" w:eastAsia="Times New Roman" w:cs="Arial"/>
                <w:color w:val="FF0000"/>
                <w:sz w:val="18"/>
                <w:szCs w:val="18"/>
              </w:rPr>
              <w:t>Containing (</w:t>
            </w:r>
            <w:r>
              <w:rPr>
                <w:rFonts w:eastAsia="微软雅黑"/>
                <w:color w:val="FF0000"/>
                <w:lang w:val="en-GB"/>
              </w:rPr>
              <w:t>interCellAdditionalNeighboringCell</w:t>
            </w:r>
            <w:r>
              <w:rPr>
                <w:rFonts w:ascii="Arial" w:hAnsi="Arial" w:eastAsia="Times New Roman" w:cs="Arial"/>
                <w:color w:val="FF0000"/>
                <w:sz w:val="18"/>
                <w:szCs w:val="18"/>
              </w:rPr>
              <w:t>, SSB-index) in CSI-SSB-ResourceSet</w:t>
            </w:r>
          </w:p>
        </w:tc>
      </w:tr>
      <w:tr>
        <w:tblPrEx>
          <w:tblCellMar>
            <w:top w:w="0" w:type="dxa"/>
            <w:left w:w="108" w:type="dxa"/>
            <w:bottom w:w="0" w:type="dxa"/>
            <w:right w:w="108" w:type="dxa"/>
          </w:tblCellMar>
        </w:tblPrEx>
        <w:trPr>
          <w:trHeight w:val="50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eastAsia="微软雅黑"/>
                <w:color w:val="FF0000"/>
                <w:lang w:val="en-GB"/>
              </w:rPr>
              <w:t>interCellAdditionalNeighboringCell</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 xml:space="preserve">Additional </w:t>
            </w:r>
            <w:r>
              <w:rPr>
                <w:rFonts w:ascii="Arial" w:hAnsi="Arial" w:eastAsia="Times New Roman" w:cs="Arial"/>
                <w:color w:val="FF0000"/>
                <w:sz w:val="18"/>
                <w:szCs w:val="18"/>
              </w:rPr>
              <w:t>{</w:t>
            </w:r>
            <w:r>
              <w:rPr>
                <w:rFonts w:eastAsia="微软雅黑"/>
                <w:color w:val="FF0000"/>
                <w:lang w:val="en-GB"/>
              </w:rPr>
              <w:t>PCI, SSB time domain location, SSB periodicity and SSB transmission power</w:t>
            </w:r>
            <w:r>
              <w:rPr>
                <w:rFonts w:ascii="Arial" w:hAnsi="Arial" w:eastAsia="Times New Roman" w:cs="Arial"/>
                <w:color w:val="FF0000"/>
                <w:sz w:val="18"/>
                <w:szCs w:val="18"/>
              </w:rPr>
              <w:t xml:space="preserve">} </w:t>
            </w:r>
            <w:r>
              <w:rPr>
                <w:rFonts w:ascii="Arial" w:hAnsi="Arial" w:eastAsia="Times New Roman" w:cs="Arial"/>
                <w:sz w:val="18"/>
                <w:szCs w:val="18"/>
              </w:rPr>
              <w:t>for inter-cell beam management measurement and reporting</w:t>
            </w:r>
          </w:p>
        </w:tc>
      </w:tr>
      <w:tr>
        <w:tblPrEx>
          <w:shd w:val="clear" w:color="auto" w:fill="FFFFFF" w:themeFill="background1"/>
          <w:tblCellMar>
            <w:top w:w="0" w:type="dxa"/>
            <w:left w:w="108" w:type="dxa"/>
            <w:bottom w:w="0" w:type="dxa"/>
            <w:right w:w="108" w:type="dxa"/>
          </w:tblCellMar>
        </w:tblPrEx>
        <w:trPr>
          <w:trHeight w:val="1250" w:hRule="atLeast"/>
        </w:trPr>
        <w:tc>
          <w:tcPr>
            <w:tcW w:w="2920" w:type="dxa"/>
            <w:tcBorders>
              <w:top w:val="nil"/>
              <w:left w:val="single" w:color="auto" w:sz="4" w:space="0"/>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color w:val="FF0000"/>
                <w:sz w:val="18"/>
                <w:szCs w:val="18"/>
              </w:rPr>
              <w:t>[QCL-Info_NeighbourCell]</w:t>
            </w:r>
          </w:p>
        </w:tc>
        <w:tc>
          <w:tcPr>
            <w:tcW w:w="6431" w:type="dxa"/>
            <w:tcBorders>
              <w:top w:val="nil"/>
              <w:left w:val="nil"/>
              <w:bottom w:val="single" w:color="auto" w:sz="4" w:space="0"/>
              <w:right w:val="single" w:color="auto" w:sz="4" w:space="0"/>
            </w:tcBorders>
            <w:shd w:val="clear" w:color="auto" w:fill="FFFFFF" w:themeFill="background1"/>
            <w:vAlign w:val="center"/>
          </w:tcPr>
          <w:p>
            <w:pPr>
              <w:spacing w:after="0" w:line="240" w:lineRule="auto"/>
              <w:rPr>
                <w:rFonts w:ascii="Arial" w:hAnsi="Arial" w:eastAsia="Times New Roman" w:cs="Arial"/>
                <w:sz w:val="18"/>
                <w:szCs w:val="18"/>
              </w:rPr>
            </w:pPr>
            <w:r>
              <w:rPr>
                <w:rFonts w:ascii="Arial" w:hAnsi="Arial" w:eastAsia="Times New Roman" w:cs="Arial"/>
                <w:sz w:val="18"/>
                <w:szCs w:val="18"/>
              </w:rPr>
              <w:t>** We don't have an explicit agreement for this **</w:t>
            </w:r>
            <w:r>
              <w:rPr>
                <w:rFonts w:ascii="Arial" w:hAnsi="Arial" w:eastAsia="Times New Roman" w:cs="Arial"/>
                <w:sz w:val="18"/>
                <w:szCs w:val="18"/>
              </w:rPr>
              <w:br w:type="textWrapping"/>
            </w:r>
            <w:r>
              <w:rPr>
                <w:rFonts w:ascii="Arial" w:hAnsi="Arial" w:eastAsia="Times New Roman" w:cs="Arial"/>
                <w:sz w:val="18"/>
                <w:szCs w:val="18"/>
              </w:rPr>
              <w:t>NZP-CSI-RS QCLed with SSB of a cell with PCI different from that of serving cell, includes</w:t>
            </w:r>
            <w:r>
              <w:rPr>
                <w:rFonts w:ascii="Arial" w:hAnsi="Arial" w:eastAsia="Times New Roman" w:cs="Arial"/>
                <w:sz w:val="18"/>
                <w:szCs w:val="18"/>
              </w:rPr>
              <w:br w:type="textWrapping"/>
            </w:r>
            <w:r>
              <w:rPr>
                <w:rFonts w:ascii="Arial" w:hAnsi="Arial" w:eastAsia="Times New Roman" w:cs="Arial"/>
                <w:sz w:val="18"/>
                <w:szCs w:val="18"/>
              </w:rPr>
              <w:t>SSB-Index</w:t>
            </w:r>
            <w:r>
              <w:rPr>
                <w:rFonts w:ascii="Arial" w:hAnsi="Arial" w:eastAsia="Times New Roman" w:cs="Arial"/>
                <w:sz w:val="18"/>
                <w:szCs w:val="18"/>
              </w:rPr>
              <w:br w:type="textWrapping"/>
            </w:r>
            <w:r>
              <w:rPr>
                <w:rFonts w:ascii="Arial" w:hAnsi="Arial" w:eastAsia="Times New Roman" w:cs="Arial"/>
                <w:strike/>
                <w:color w:val="FF0000"/>
                <w:sz w:val="18"/>
                <w:szCs w:val="18"/>
              </w:rPr>
              <w:t>PCI</w:t>
            </w:r>
            <w:r>
              <w:rPr>
                <w:rFonts w:hint="eastAsia" w:eastAsia="微软雅黑"/>
                <w:color w:val="FF0000"/>
              </w:rPr>
              <w:t>indicationofTCIstategroup</w:t>
            </w:r>
          </w:p>
        </w:tc>
      </w:tr>
    </w:tbl>
    <w:p>
      <w:pPr>
        <w:spacing w:before="120"/>
        <w:rPr>
          <w:i/>
        </w:rPr>
      </w:pPr>
      <w:r>
        <w:rPr>
          <w:b/>
          <w:i/>
        </w:rPr>
        <w:t>Proposal 23</w:t>
      </w:r>
      <w:r>
        <w:rPr>
          <w:rFonts w:hint="eastAsia"/>
          <w:b/>
          <w:i/>
        </w:rPr>
        <w:t xml:space="preserve">: </w:t>
      </w:r>
      <w:r>
        <w:rPr>
          <w:i/>
        </w:rPr>
        <w:t>For RRC configuration for MPE mitigation, the following modification is proposed in red</w:t>
      </w:r>
    </w:p>
    <w:tbl>
      <w:tblPr>
        <w:tblStyle w:val="23"/>
        <w:tblW w:w="9498" w:type="dxa"/>
        <w:tblInd w:w="-5" w:type="dxa"/>
        <w:tblLayout w:type="autofit"/>
        <w:tblCellMar>
          <w:top w:w="0" w:type="dxa"/>
          <w:left w:w="108" w:type="dxa"/>
          <w:bottom w:w="0" w:type="dxa"/>
          <w:right w:w="108" w:type="dxa"/>
        </w:tblCellMar>
      </w:tblPr>
      <w:tblGrid>
        <w:gridCol w:w="2920"/>
        <w:gridCol w:w="6578"/>
      </w:tblGrid>
      <w:tr>
        <w:tblPrEx>
          <w:tblCellMar>
            <w:top w:w="0" w:type="dxa"/>
            <w:left w:w="108" w:type="dxa"/>
            <w:bottom w:w="0" w:type="dxa"/>
            <w:right w:w="108" w:type="dxa"/>
          </w:tblCellMar>
        </w:tblPrEx>
        <w:trPr>
          <w:trHeight w:val="1000" w:hRule="atLeast"/>
        </w:trPr>
        <w:tc>
          <w:tcPr>
            <w:tcW w:w="292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rPr>
            </w:pPr>
            <w:r>
              <w:rPr>
                <w:rFonts w:ascii="Arial" w:hAnsi="Arial" w:eastAsia="Times New Roman" w:cs="Arial"/>
                <w:sz w:val="18"/>
              </w:rPr>
              <w:t>mpe-Reporting-FR2-r17</w:t>
            </w:r>
          </w:p>
        </w:tc>
        <w:tc>
          <w:tcPr>
            <w:tcW w:w="6578"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rPr>
            </w:pPr>
            <w:r>
              <w:rPr>
                <w:rFonts w:ascii="Arial" w:hAnsi="Arial" w:eastAsia="Times New Roman" w:cs="Arial"/>
                <w:sz w:val="18"/>
              </w:rPr>
              <w:t>Indicates whether the UE shall report Rel17 MPE P-MPR in the PHR MAC control element, as specified in TS 38.321 [3] - This can be in PHR-Config (up to RAN2)</w:t>
            </w:r>
          </w:p>
        </w:tc>
      </w:tr>
      <w:tr>
        <w:tblPrEx>
          <w:tblCellMar>
            <w:top w:w="0" w:type="dxa"/>
            <w:left w:w="108" w:type="dxa"/>
            <w:bottom w:w="0" w:type="dxa"/>
            <w:right w:w="108" w:type="dxa"/>
          </w:tblCellMar>
        </w:tblPrEx>
        <w:trPr>
          <w:trHeight w:val="1000" w:hRule="atLeast"/>
        </w:trPr>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MPE-Config-FR2-r17</w:t>
            </w:r>
          </w:p>
        </w:tc>
        <w:tc>
          <w:tcPr>
            <w:tcW w:w="6578"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This can be in PHR-Config (up to RAN2)</w:t>
            </w:r>
          </w:p>
        </w:tc>
      </w:tr>
      <w:tr>
        <w:tblPrEx>
          <w:tblCellMar>
            <w:top w:w="0" w:type="dxa"/>
            <w:left w:w="108" w:type="dxa"/>
            <w:bottom w:w="0" w:type="dxa"/>
            <w:right w:w="108" w:type="dxa"/>
          </w:tblCellMar>
        </w:tblPrEx>
        <w:trPr>
          <w:trHeight w:val="1000" w:hRule="atLeast"/>
        </w:trPr>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mpe-ProhibitTimer-r17</w:t>
            </w:r>
          </w:p>
        </w:tc>
        <w:tc>
          <w:tcPr>
            <w:tcW w:w="6578"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Value in number of subframes for MPE reporting, as specified in TS 38.321 [3]. Value sf10 corresponds to 10 subframes, and so on. This can be in PHR-Config (up to RAN2)</w:t>
            </w:r>
          </w:p>
        </w:tc>
      </w:tr>
      <w:tr>
        <w:tblPrEx>
          <w:tblCellMar>
            <w:top w:w="0" w:type="dxa"/>
            <w:left w:w="108" w:type="dxa"/>
            <w:bottom w:w="0" w:type="dxa"/>
            <w:right w:w="108" w:type="dxa"/>
          </w:tblCellMar>
        </w:tblPrEx>
        <w:trPr>
          <w:trHeight w:val="1118" w:hRule="atLeast"/>
        </w:trPr>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mpe-Threshold-r17</w:t>
            </w:r>
          </w:p>
        </w:tc>
        <w:tc>
          <w:tcPr>
            <w:tcW w:w="6578"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Value of the P-MPR threshold in dB for reporting MPE P-MPR when FR2 is configured, as specified in TS 38.321 [3]. The same value applies for each serving cell (although the associated functionality is performed independently for each cell). This can be in PHR-Config (up to RAN2)</w:t>
            </w:r>
          </w:p>
        </w:tc>
      </w:tr>
      <w:tr>
        <w:tblPrEx>
          <w:tblCellMar>
            <w:top w:w="0" w:type="dxa"/>
            <w:left w:w="108" w:type="dxa"/>
            <w:bottom w:w="0" w:type="dxa"/>
            <w:right w:w="108" w:type="dxa"/>
          </w:tblCellMar>
        </w:tblPrEx>
        <w:trPr>
          <w:trHeight w:val="1000" w:hRule="atLeast"/>
        </w:trPr>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rPr>
            </w:pPr>
            <w:r>
              <w:rPr>
                <w:rFonts w:ascii="Arial" w:hAnsi="Arial" w:eastAsia="Times New Roman" w:cs="Arial"/>
                <w:sz w:val="18"/>
              </w:rPr>
              <w:t>numberOfN</w:t>
            </w:r>
          </w:p>
        </w:tc>
        <w:tc>
          <w:tcPr>
            <w:tcW w:w="6578"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z w:val="18"/>
              </w:rPr>
            </w:pPr>
            <w:r>
              <w:rPr>
                <w:rFonts w:ascii="Arial" w:hAnsi="Arial" w:eastAsia="Times New Roman" w:cs="Arial"/>
                <w:sz w:val="18"/>
              </w:rPr>
              <w:t>Number of reported P-MPR values</w:t>
            </w:r>
            <w:r>
              <w:rPr>
                <w:rFonts w:ascii="Arial" w:hAnsi="Arial" w:eastAsia="Times New Roman" w:cs="Arial"/>
                <w:sz w:val="18"/>
              </w:rPr>
              <w:br w:type="textWrapping"/>
            </w:r>
            <w:r>
              <w:rPr>
                <w:rFonts w:ascii="Arial" w:hAnsi="Arial" w:eastAsia="Times New Roman" w:cs="Arial"/>
                <w:sz w:val="18"/>
              </w:rPr>
              <w:br w:type="textWrapping"/>
            </w:r>
            <w:r>
              <w:rPr>
                <w:rFonts w:ascii="Arial" w:hAnsi="Arial" w:eastAsia="Times New Roman" w:cs="Arial"/>
                <w:sz w:val="18"/>
              </w:rPr>
              <w:t>In addition to the existing field in the PHR MAC-CE, N≥1 P-MPR values can be reported P-MPRs. This can be in PHR-Config (up to RAN2)</w:t>
            </w:r>
          </w:p>
        </w:tc>
      </w:tr>
      <w:tr>
        <w:tblPrEx>
          <w:tblCellMar>
            <w:top w:w="0" w:type="dxa"/>
            <w:left w:w="108" w:type="dxa"/>
            <w:bottom w:w="0" w:type="dxa"/>
            <w:right w:w="108" w:type="dxa"/>
          </w:tblCellMar>
        </w:tblPrEx>
        <w:trPr>
          <w:trHeight w:val="1250" w:hRule="atLeast"/>
        </w:trPr>
        <w:tc>
          <w:tcPr>
            <w:tcW w:w="2920" w:type="dxa"/>
            <w:tcBorders>
              <w:top w:val="nil"/>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[numberOfM]</w:t>
            </w:r>
          </w:p>
        </w:tc>
        <w:tc>
          <w:tcPr>
            <w:tcW w:w="6578" w:type="dxa"/>
            <w:tcBorders>
              <w:top w:val="nil"/>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strike/>
                <w:color w:val="FF0000"/>
                <w:sz w:val="18"/>
              </w:rPr>
              <w:t>[max number of SSBRI(s)/CRI(s) per P-MPR</w:t>
            </w:r>
            <w:r>
              <w:rPr>
                <w:rFonts w:ascii="Arial" w:hAnsi="Arial" w:eastAsia="Times New Roman" w:cs="Arial"/>
                <w:strike/>
                <w:color w:val="FF0000"/>
                <w:sz w:val="18"/>
              </w:rPr>
              <w:br w:type="textWrapping"/>
            </w:r>
            <w:r>
              <w:rPr>
                <w:rFonts w:ascii="Arial" w:hAnsi="Arial" w:eastAsia="Times New Roman" w:cs="Arial"/>
                <w:strike/>
                <w:color w:val="FF0000"/>
                <w:sz w:val="18"/>
              </w:rPr>
              <w:br w:type="textWrapping"/>
            </w:r>
            <w:r>
              <w:rPr>
                <w:rFonts w:ascii="Arial" w:hAnsi="Arial" w:eastAsia="Times New Roman" w:cs="Arial"/>
                <w:strike/>
                <w:color w:val="FF0000"/>
                <w:sz w:val="18"/>
              </w:rPr>
              <w:t>Value of M; for each P-MPR, up to M SSBRI(s)/CSI(s) are reported</w:t>
            </w:r>
            <w:r>
              <w:rPr>
                <w:rFonts w:ascii="Arial" w:hAnsi="Arial" w:eastAsia="Times New Roman" w:cs="Arial"/>
                <w:strike/>
                <w:color w:val="FF0000"/>
                <w:sz w:val="18"/>
              </w:rPr>
              <w:br w:type="textWrapping"/>
            </w:r>
            <w:r>
              <w:rPr>
                <w:rFonts w:ascii="Arial" w:hAnsi="Arial" w:eastAsia="Times New Roman" w:cs="Arial"/>
                <w:strike/>
                <w:color w:val="FF0000"/>
                <w:sz w:val="18"/>
              </w:rPr>
              <w:t xml:space="preserve">Note: TBD whether this field may be removed, e.g. when N=M. </w:t>
            </w:r>
            <w:r>
              <w:rPr>
                <w:rFonts w:ascii="Arial" w:hAnsi="Arial" w:eastAsia="Times New Roman" w:cs="Arial"/>
                <w:strike/>
                <w:color w:val="FF0000"/>
                <w:sz w:val="18"/>
              </w:rPr>
              <w:br w:type="textWrapping"/>
            </w:r>
            <w:r>
              <w:rPr>
                <w:rFonts w:ascii="Arial" w:hAnsi="Arial" w:eastAsia="Times New Roman" w:cs="Arial"/>
                <w:strike/>
                <w:color w:val="FF0000"/>
                <w:sz w:val="18"/>
              </w:rPr>
              <w:t>This can be in PHR-Config (up to RAN2)]</w:t>
            </w:r>
          </w:p>
        </w:tc>
      </w:tr>
      <w:tr>
        <w:tblPrEx>
          <w:tblCellMar>
            <w:top w:w="0" w:type="dxa"/>
            <w:left w:w="108" w:type="dxa"/>
            <w:bottom w:w="0" w:type="dxa"/>
            <w:right w:w="108" w:type="dxa"/>
          </w:tblCellMar>
        </w:tblPrEx>
        <w:trPr>
          <w:trHeight w:val="1250" w:hRule="atLeast"/>
        </w:trPr>
        <w:tc>
          <w:tcPr>
            <w:tcW w:w="292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eastAsia="微软雅黑"/>
                <w:color w:val="FF0000"/>
                <w:lang w:val="en-GB"/>
              </w:rPr>
              <w:t>candidateRsSet-MPE</w:t>
            </w:r>
          </w:p>
        </w:tc>
        <w:tc>
          <w:tcPr>
            <w:tcW w:w="6578" w:type="dxa"/>
            <w:tcBorders>
              <w:top w:val="single" w:color="auto" w:sz="4" w:space="0"/>
              <w:left w:val="nil"/>
              <w:bottom w:val="single" w:color="auto" w:sz="4" w:space="0"/>
              <w:right w:val="single" w:color="auto" w:sz="4" w:space="0"/>
            </w:tcBorders>
            <w:shd w:val="clear" w:color="auto" w:fill="auto"/>
            <w:vAlign w:val="center"/>
          </w:tcPr>
          <w:p>
            <w:pPr>
              <w:spacing w:after="0" w:line="240" w:lineRule="auto"/>
              <w:rPr>
                <w:rFonts w:ascii="Arial" w:hAnsi="Arial" w:eastAsia="Times New Roman" w:cs="Arial"/>
                <w:strike/>
                <w:color w:val="FF0000"/>
                <w:sz w:val="18"/>
              </w:rPr>
            </w:pPr>
            <w:r>
              <w:rPr>
                <w:rFonts w:ascii="Arial" w:hAnsi="Arial" w:eastAsia="Times New Roman" w:cs="Arial"/>
                <w:color w:val="FF0000"/>
                <w:sz w:val="18"/>
              </w:rPr>
              <w:t xml:space="preserve">Configures a candidate SSB/CSI-RS resource pool for the selection of SSBRI(s)/CRI(s)  for Rel17 MPE P-MPR in the PHR MAC control element- This can be in PHR-Config (up to RAN2)  </w:t>
            </w:r>
          </w:p>
        </w:tc>
      </w:tr>
    </w:tbl>
    <w:p>
      <w:pPr>
        <w:widowControl w:val="0"/>
        <w:snapToGrid w:val="0"/>
        <w:spacing w:before="120" w:after="120" w:afterLines="50" w:line="300" w:lineRule="auto"/>
        <w:jc w:val="both"/>
        <w:rPr>
          <w:rFonts w:eastAsia="微软雅黑"/>
          <w:szCs w:val="20"/>
          <w:u w:val="single"/>
        </w:rPr>
      </w:pPr>
    </w:p>
    <w:p>
      <w:pPr>
        <w:keepNext/>
        <w:widowControl w:val="0"/>
        <w:numPr>
          <w:ilvl w:val="0"/>
          <w:numId w:val="7"/>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73"/>
        <w:numPr>
          <w:ilvl w:val="0"/>
          <w:numId w:val="26"/>
        </w:numPr>
        <w:snapToGrid w:val="0"/>
        <w:rPr>
          <w:bCs/>
          <w:sz w:val="20"/>
          <w:szCs w:val="20"/>
        </w:rPr>
      </w:pPr>
      <w:r>
        <w:rPr>
          <w:rFonts w:hint="eastAsia"/>
          <w:bCs/>
          <w:sz w:val="20"/>
          <w:szCs w:val="20"/>
        </w:rPr>
        <w:t>Chairman's Notes RAN1#106-e</w:t>
      </w:r>
    </w:p>
    <w:p>
      <w:pPr>
        <w:pStyle w:val="73"/>
        <w:numPr>
          <w:ilvl w:val="0"/>
          <w:numId w:val="26"/>
        </w:numPr>
        <w:snapToGrid w:val="0"/>
        <w:rPr>
          <w:bCs/>
          <w:sz w:val="20"/>
          <w:szCs w:val="20"/>
        </w:rPr>
      </w:pPr>
      <w:r>
        <w:rPr>
          <w:bCs/>
          <w:sz w:val="20"/>
          <w:szCs w:val="20"/>
        </w:rPr>
        <w:t>R1-2108877, Further details on Multi-beam and Multi-TRP operation, ZTE</w:t>
      </w:r>
    </w:p>
    <w:p>
      <w:pPr>
        <w:pStyle w:val="73"/>
        <w:numPr>
          <w:ilvl w:val="0"/>
          <w:numId w:val="26"/>
        </w:numPr>
        <w:snapToGrid w:val="0"/>
        <w:rPr>
          <w:bCs/>
          <w:sz w:val="20"/>
          <w:szCs w:val="20"/>
        </w:rPr>
      </w:pPr>
      <w:r>
        <w:rPr>
          <w:bCs/>
          <w:sz w:val="20"/>
          <w:szCs w:val="20"/>
        </w:rPr>
        <w:t>R1-2108676</w:t>
      </w:r>
      <w:r>
        <w:rPr>
          <w:rFonts w:hint="eastAsia"/>
          <w:bCs/>
          <w:sz w:val="20"/>
          <w:szCs w:val="20"/>
        </w:rPr>
        <w:t>,</w:t>
      </w:r>
      <w:r>
        <w:rPr>
          <w:bCs/>
          <w:sz w:val="20"/>
          <w:szCs w:val="20"/>
        </w:rPr>
        <w:t xml:space="preserve"> Moderator summary of RRC parameters for Rel-17 NR_FeMIMO, Moderator(Samsung)</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B4008A4F"/>
    <w:multiLevelType w:val="singleLevel"/>
    <w:tmpl w:val="B4008A4F"/>
    <w:lvl w:ilvl="0" w:tentative="0">
      <w:start w:val="1"/>
      <w:numFmt w:val="bullet"/>
      <w:lvlText w:val=""/>
      <w:lvlJc w:val="left"/>
      <w:pPr>
        <w:ind w:left="820" w:hanging="420"/>
      </w:pPr>
      <w:rPr>
        <w:rFonts w:hint="default" w:ascii="Wingdings" w:hAnsi="Wingdings"/>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93B1F21"/>
    <w:multiLevelType w:val="multilevel"/>
    <w:tmpl w:val="193B1F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1D923082"/>
    <w:multiLevelType w:val="multilevel"/>
    <w:tmpl w:val="1D9230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02D1318"/>
    <w:multiLevelType w:val="multilevel"/>
    <w:tmpl w:val="202D13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645A8C"/>
    <w:multiLevelType w:val="multilevel"/>
    <w:tmpl w:val="23645A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2B3432AF"/>
    <w:multiLevelType w:val="multilevel"/>
    <w:tmpl w:val="2B3432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2CC7B81"/>
    <w:multiLevelType w:val="multilevel"/>
    <w:tmpl w:val="32CC7B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8025377"/>
    <w:multiLevelType w:val="multilevel"/>
    <w:tmpl w:val="380253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4">
    <w:nsid w:val="4B140ED7"/>
    <w:multiLevelType w:val="multilevel"/>
    <w:tmpl w:val="4B140ED7"/>
    <w:lvl w:ilvl="0" w:tentative="0">
      <w:start w:val="0"/>
      <w:numFmt w:val="bullet"/>
      <w:lvlText w:val="-"/>
      <w:lvlJc w:val="left"/>
      <w:pPr>
        <w:ind w:left="780" w:hanging="360"/>
      </w:pPr>
      <w:rPr>
        <w:rFonts w:hint="default" w:ascii="Times New Roman" w:hAnsi="Times New Roman" w:eastAsia="微软雅黑" w:cs="Times New Roman"/>
        <w:lang w:val="en-US"/>
      </w:rPr>
    </w:lvl>
    <w:lvl w:ilvl="1" w:tentative="0">
      <w:start w:val="10"/>
      <w:numFmt w:val="bullet"/>
      <w:lvlText w:val="•"/>
      <w:lvlJc w:val="left"/>
      <w:pPr>
        <w:ind w:left="1260" w:hanging="420"/>
      </w:pPr>
      <w:rPr>
        <w:rFonts w:hint="default" w:ascii="Times" w:hAnsi="Times" w:eastAsia="Batang" w:cs="Time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56123AE4"/>
    <w:multiLevelType w:val="multilevel"/>
    <w:tmpl w:val="56123A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8D80F43"/>
    <w:multiLevelType w:val="multilevel"/>
    <w:tmpl w:val="58D80F43"/>
    <w:lvl w:ilvl="0" w:tentative="0">
      <w:start w:val="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E93823A"/>
    <w:multiLevelType w:val="singleLevel"/>
    <w:tmpl w:val="5E93823A"/>
    <w:lvl w:ilvl="0" w:tentative="0">
      <w:start w:val="1"/>
      <w:numFmt w:val="decimal"/>
      <w:suff w:val="space"/>
      <w:lvlText w:val="[%1]"/>
      <w:lvlJc w:val="left"/>
    </w:lvl>
  </w:abstractNum>
  <w:abstractNum w:abstractNumId="18">
    <w:nsid w:val="640613F0"/>
    <w:multiLevelType w:val="multilevel"/>
    <w:tmpl w:val="640613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AF179F8"/>
    <w:multiLevelType w:val="multilevel"/>
    <w:tmpl w:val="6AF179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2DA5858"/>
    <w:multiLevelType w:val="multilevel"/>
    <w:tmpl w:val="72DA58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7374B63"/>
    <w:multiLevelType w:val="singleLevel"/>
    <w:tmpl w:val="77374B63"/>
    <w:lvl w:ilvl="0" w:tentative="0">
      <w:start w:val="1"/>
      <w:numFmt w:val="bullet"/>
      <w:lvlText w:val=""/>
      <w:lvlJc w:val="left"/>
      <w:pPr>
        <w:ind w:left="420" w:hanging="420"/>
      </w:pPr>
      <w:rPr>
        <w:rFonts w:hint="default" w:ascii="Wingdings" w:hAnsi="Wingdings"/>
      </w:rPr>
    </w:lvl>
  </w:abstractNum>
  <w:abstractNum w:abstractNumId="24">
    <w:nsid w:val="77B6426D"/>
    <w:multiLevelType w:val="multilevel"/>
    <w:tmpl w:val="77B642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1944F2"/>
    <w:multiLevelType w:val="multilevel"/>
    <w:tmpl w:val="7B1944F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 w:numId="2">
    <w:abstractNumId w:val="2"/>
  </w:num>
  <w:num w:numId="3">
    <w:abstractNumId w:val="22"/>
  </w:num>
  <w:num w:numId="4">
    <w:abstractNumId w:val="3"/>
  </w:num>
  <w:num w:numId="5">
    <w:abstractNumId w:val="20"/>
  </w:num>
  <w:num w:numId="6">
    <w:abstractNumId w:val="13"/>
  </w:num>
  <w:num w:numId="7">
    <w:abstractNumId w:val="8"/>
  </w:num>
  <w:num w:numId="8">
    <w:abstractNumId w:val="14"/>
  </w:num>
  <w:num w:numId="9">
    <w:abstractNumId w:val="9"/>
  </w:num>
  <w:num w:numId="10">
    <w:abstractNumId w:val="4"/>
  </w:num>
  <w:num w:numId="11">
    <w:abstractNumId w:val="19"/>
  </w:num>
  <w:num w:numId="12">
    <w:abstractNumId w:val="6"/>
  </w:num>
  <w:num w:numId="13">
    <w:abstractNumId w:val="5"/>
  </w:num>
  <w:num w:numId="14">
    <w:abstractNumId w:val="10"/>
  </w:num>
  <w:num w:numId="15">
    <w:abstractNumId w:val="21"/>
  </w:num>
  <w:num w:numId="16">
    <w:abstractNumId w:val="1"/>
  </w:num>
  <w:num w:numId="17">
    <w:abstractNumId w:val="24"/>
  </w:num>
  <w:num w:numId="18">
    <w:abstractNumId w:val="23"/>
  </w:num>
  <w:num w:numId="19">
    <w:abstractNumId w:val="7"/>
  </w:num>
  <w:num w:numId="20">
    <w:abstractNumId w:val="18"/>
  </w:num>
  <w:num w:numId="21">
    <w:abstractNumId w:val="12"/>
  </w:num>
  <w:num w:numId="22">
    <w:abstractNumId w:val="15"/>
  </w:num>
  <w:num w:numId="23">
    <w:abstractNumId w:val="11"/>
  </w:num>
  <w:num w:numId="24">
    <w:abstractNumId w:val="25"/>
  </w:num>
  <w:num w:numId="25">
    <w:abstractNumId w:val="1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6516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94EAC"/>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7751BD"/>
    <w:rsid w:val="06BA6ABF"/>
    <w:rsid w:val="06C62058"/>
    <w:rsid w:val="06CF7159"/>
    <w:rsid w:val="06D32D7E"/>
    <w:rsid w:val="06E21138"/>
    <w:rsid w:val="06E64C63"/>
    <w:rsid w:val="06F24EF2"/>
    <w:rsid w:val="07470651"/>
    <w:rsid w:val="075815C4"/>
    <w:rsid w:val="07934010"/>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0571E"/>
    <w:rsid w:val="0BE32529"/>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F13B47"/>
    <w:rsid w:val="0E0A5187"/>
    <w:rsid w:val="0E332166"/>
    <w:rsid w:val="0E3917FF"/>
    <w:rsid w:val="0E613656"/>
    <w:rsid w:val="0E72787E"/>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01270"/>
    <w:rsid w:val="107A5169"/>
    <w:rsid w:val="107B4EBF"/>
    <w:rsid w:val="107C4D2C"/>
    <w:rsid w:val="10881C30"/>
    <w:rsid w:val="108A6F8A"/>
    <w:rsid w:val="10907B90"/>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228310E"/>
    <w:rsid w:val="12325B1D"/>
    <w:rsid w:val="1244691E"/>
    <w:rsid w:val="1251591B"/>
    <w:rsid w:val="12610602"/>
    <w:rsid w:val="126B461E"/>
    <w:rsid w:val="127D72F2"/>
    <w:rsid w:val="12A908D3"/>
    <w:rsid w:val="12AA7F02"/>
    <w:rsid w:val="12B31A9B"/>
    <w:rsid w:val="12B47253"/>
    <w:rsid w:val="12C14396"/>
    <w:rsid w:val="12DE33CA"/>
    <w:rsid w:val="12FC274E"/>
    <w:rsid w:val="12FF52DE"/>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C5316D"/>
    <w:rsid w:val="18E87E12"/>
    <w:rsid w:val="18F5052C"/>
    <w:rsid w:val="191D14D9"/>
    <w:rsid w:val="19693EEF"/>
    <w:rsid w:val="196B5F41"/>
    <w:rsid w:val="19A33A02"/>
    <w:rsid w:val="19D1732F"/>
    <w:rsid w:val="19F92180"/>
    <w:rsid w:val="1A001213"/>
    <w:rsid w:val="1A0D4248"/>
    <w:rsid w:val="1A200A74"/>
    <w:rsid w:val="1A2F2398"/>
    <w:rsid w:val="1A3055B8"/>
    <w:rsid w:val="1A5655AF"/>
    <w:rsid w:val="1A6B5CD7"/>
    <w:rsid w:val="1A9B675D"/>
    <w:rsid w:val="1AD153DF"/>
    <w:rsid w:val="1ADE3E70"/>
    <w:rsid w:val="1AE032B7"/>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D26771C"/>
    <w:rsid w:val="1D464FEE"/>
    <w:rsid w:val="1D5D7C71"/>
    <w:rsid w:val="1D644902"/>
    <w:rsid w:val="1D6B1D16"/>
    <w:rsid w:val="1D8C2BA2"/>
    <w:rsid w:val="1D8F6B81"/>
    <w:rsid w:val="1D905228"/>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757C7B"/>
    <w:rsid w:val="20A13861"/>
    <w:rsid w:val="20BB0C31"/>
    <w:rsid w:val="20C66D8E"/>
    <w:rsid w:val="20CF37FC"/>
    <w:rsid w:val="20D717F3"/>
    <w:rsid w:val="20F12135"/>
    <w:rsid w:val="20F90AAC"/>
    <w:rsid w:val="20FA405B"/>
    <w:rsid w:val="212B616E"/>
    <w:rsid w:val="213121BA"/>
    <w:rsid w:val="214A2960"/>
    <w:rsid w:val="215302B9"/>
    <w:rsid w:val="215670DE"/>
    <w:rsid w:val="2183462B"/>
    <w:rsid w:val="218E4A09"/>
    <w:rsid w:val="218E6399"/>
    <w:rsid w:val="219C6DDD"/>
    <w:rsid w:val="21DF3292"/>
    <w:rsid w:val="22111157"/>
    <w:rsid w:val="2229623B"/>
    <w:rsid w:val="22477192"/>
    <w:rsid w:val="224C2951"/>
    <w:rsid w:val="227A54E3"/>
    <w:rsid w:val="22865CFC"/>
    <w:rsid w:val="22BD3256"/>
    <w:rsid w:val="22BD4E7D"/>
    <w:rsid w:val="22D07449"/>
    <w:rsid w:val="22E40F3D"/>
    <w:rsid w:val="230B248C"/>
    <w:rsid w:val="231847B8"/>
    <w:rsid w:val="231E3ED2"/>
    <w:rsid w:val="234421C7"/>
    <w:rsid w:val="234D61BE"/>
    <w:rsid w:val="23537C14"/>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75612"/>
    <w:rsid w:val="249E3719"/>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E6749"/>
    <w:rsid w:val="25DE0185"/>
    <w:rsid w:val="25E04003"/>
    <w:rsid w:val="25EE6875"/>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85E33"/>
    <w:rsid w:val="26DB2072"/>
    <w:rsid w:val="270B4A30"/>
    <w:rsid w:val="270F1235"/>
    <w:rsid w:val="271D238B"/>
    <w:rsid w:val="273460AC"/>
    <w:rsid w:val="2737495D"/>
    <w:rsid w:val="274E64D1"/>
    <w:rsid w:val="27862FAB"/>
    <w:rsid w:val="278F67DD"/>
    <w:rsid w:val="27B778B7"/>
    <w:rsid w:val="27CE4805"/>
    <w:rsid w:val="27DC01C9"/>
    <w:rsid w:val="27E53287"/>
    <w:rsid w:val="27EA6D62"/>
    <w:rsid w:val="28151DED"/>
    <w:rsid w:val="28300784"/>
    <w:rsid w:val="28316877"/>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7D5C08"/>
    <w:rsid w:val="2A832C81"/>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A57D96"/>
    <w:rsid w:val="2BAE29A1"/>
    <w:rsid w:val="2BBE438D"/>
    <w:rsid w:val="2BD315B0"/>
    <w:rsid w:val="2BE373EE"/>
    <w:rsid w:val="2BFC3156"/>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926963"/>
    <w:rsid w:val="2DB30550"/>
    <w:rsid w:val="2DDA7850"/>
    <w:rsid w:val="2DDC0104"/>
    <w:rsid w:val="2DE379BB"/>
    <w:rsid w:val="2E0177B9"/>
    <w:rsid w:val="2E034F95"/>
    <w:rsid w:val="2E090F9F"/>
    <w:rsid w:val="2E1D2BF2"/>
    <w:rsid w:val="2E2336D4"/>
    <w:rsid w:val="2E3B2A47"/>
    <w:rsid w:val="2E6003A4"/>
    <w:rsid w:val="2E69729D"/>
    <w:rsid w:val="2E6A2F38"/>
    <w:rsid w:val="2E8543E2"/>
    <w:rsid w:val="2E8C35B6"/>
    <w:rsid w:val="2E9045E4"/>
    <w:rsid w:val="2E9B575E"/>
    <w:rsid w:val="2EB50951"/>
    <w:rsid w:val="2EB673FD"/>
    <w:rsid w:val="2EB809B1"/>
    <w:rsid w:val="2EB81831"/>
    <w:rsid w:val="2ECF7A85"/>
    <w:rsid w:val="2EE054B3"/>
    <w:rsid w:val="2EEB0155"/>
    <w:rsid w:val="2EFA0186"/>
    <w:rsid w:val="2F082BB8"/>
    <w:rsid w:val="2F0F048D"/>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C2434B"/>
    <w:rsid w:val="35F421D8"/>
    <w:rsid w:val="35FE7215"/>
    <w:rsid w:val="35FF2DF2"/>
    <w:rsid w:val="36000F59"/>
    <w:rsid w:val="360B232F"/>
    <w:rsid w:val="361D59BA"/>
    <w:rsid w:val="36247CCA"/>
    <w:rsid w:val="36280FB0"/>
    <w:rsid w:val="36400759"/>
    <w:rsid w:val="364225B8"/>
    <w:rsid w:val="364B4F18"/>
    <w:rsid w:val="36544E83"/>
    <w:rsid w:val="367B06EC"/>
    <w:rsid w:val="36AF0D32"/>
    <w:rsid w:val="36C5766F"/>
    <w:rsid w:val="36D704F3"/>
    <w:rsid w:val="36E90250"/>
    <w:rsid w:val="36ED465C"/>
    <w:rsid w:val="36F13515"/>
    <w:rsid w:val="370058B6"/>
    <w:rsid w:val="37066B46"/>
    <w:rsid w:val="37131885"/>
    <w:rsid w:val="37556EFB"/>
    <w:rsid w:val="37634C0D"/>
    <w:rsid w:val="37635AA2"/>
    <w:rsid w:val="376D038A"/>
    <w:rsid w:val="378D4EC4"/>
    <w:rsid w:val="379127D4"/>
    <w:rsid w:val="37B01FC8"/>
    <w:rsid w:val="37F7211A"/>
    <w:rsid w:val="37FD2BB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2245B5"/>
    <w:rsid w:val="39235BBC"/>
    <w:rsid w:val="393D721A"/>
    <w:rsid w:val="393F0F59"/>
    <w:rsid w:val="394A6B61"/>
    <w:rsid w:val="394F360B"/>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F0CF3"/>
    <w:rsid w:val="3EE8557E"/>
    <w:rsid w:val="3EED740D"/>
    <w:rsid w:val="3F286186"/>
    <w:rsid w:val="3F2C1065"/>
    <w:rsid w:val="3F2F6BD0"/>
    <w:rsid w:val="3F3330FC"/>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86C9E"/>
    <w:rsid w:val="40F347AB"/>
    <w:rsid w:val="40F83F72"/>
    <w:rsid w:val="411713CA"/>
    <w:rsid w:val="411A6663"/>
    <w:rsid w:val="412D5086"/>
    <w:rsid w:val="416E59E3"/>
    <w:rsid w:val="417C4EC1"/>
    <w:rsid w:val="41A664B7"/>
    <w:rsid w:val="41CF3C25"/>
    <w:rsid w:val="41DF5CBF"/>
    <w:rsid w:val="41EB174A"/>
    <w:rsid w:val="42226713"/>
    <w:rsid w:val="422B2BA1"/>
    <w:rsid w:val="4231785A"/>
    <w:rsid w:val="4235332E"/>
    <w:rsid w:val="42584818"/>
    <w:rsid w:val="427E48C1"/>
    <w:rsid w:val="42926048"/>
    <w:rsid w:val="429B6E22"/>
    <w:rsid w:val="429C6B61"/>
    <w:rsid w:val="42BF4C55"/>
    <w:rsid w:val="42C845D8"/>
    <w:rsid w:val="42F91034"/>
    <w:rsid w:val="43262E27"/>
    <w:rsid w:val="434841F7"/>
    <w:rsid w:val="434D6B99"/>
    <w:rsid w:val="437F792B"/>
    <w:rsid w:val="43BE214E"/>
    <w:rsid w:val="43ED298C"/>
    <w:rsid w:val="43EF2991"/>
    <w:rsid w:val="43F4696E"/>
    <w:rsid w:val="44597BEE"/>
    <w:rsid w:val="447A4753"/>
    <w:rsid w:val="44A70E24"/>
    <w:rsid w:val="44DD300E"/>
    <w:rsid w:val="44E2656D"/>
    <w:rsid w:val="44F11452"/>
    <w:rsid w:val="45177BA4"/>
    <w:rsid w:val="451C551F"/>
    <w:rsid w:val="451F3CCA"/>
    <w:rsid w:val="45341196"/>
    <w:rsid w:val="45493A4F"/>
    <w:rsid w:val="454E4188"/>
    <w:rsid w:val="45727755"/>
    <w:rsid w:val="45965757"/>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A4D37"/>
    <w:rsid w:val="47EC146A"/>
    <w:rsid w:val="48334280"/>
    <w:rsid w:val="48386782"/>
    <w:rsid w:val="48406A1E"/>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BB336E"/>
    <w:rsid w:val="4DBE6815"/>
    <w:rsid w:val="4DF67531"/>
    <w:rsid w:val="4DF9062B"/>
    <w:rsid w:val="4E014EF8"/>
    <w:rsid w:val="4E066E93"/>
    <w:rsid w:val="4E075658"/>
    <w:rsid w:val="4E1D7E77"/>
    <w:rsid w:val="4E236A05"/>
    <w:rsid w:val="4E51451A"/>
    <w:rsid w:val="4EDE397C"/>
    <w:rsid w:val="4EF614BA"/>
    <w:rsid w:val="4EF62402"/>
    <w:rsid w:val="4F087D26"/>
    <w:rsid w:val="4F35630A"/>
    <w:rsid w:val="4F362E18"/>
    <w:rsid w:val="4F497B36"/>
    <w:rsid w:val="4F540B41"/>
    <w:rsid w:val="4F547EAA"/>
    <w:rsid w:val="4F832885"/>
    <w:rsid w:val="4F9039FE"/>
    <w:rsid w:val="4FE02223"/>
    <w:rsid w:val="50437224"/>
    <w:rsid w:val="50490678"/>
    <w:rsid w:val="505A512C"/>
    <w:rsid w:val="5089260D"/>
    <w:rsid w:val="50895295"/>
    <w:rsid w:val="5098572F"/>
    <w:rsid w:val="50B906DF"/>
    <w:rsid w:val="50F018D3"/>
    <w:rsid w:val="50F47A17"/>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D31B63"/>
    <w:rsid w:val="54EA3219"/>
    <w:rsid w:val="550118A5"/>
    <w:rsid w:val="554860F4"/>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A3398"/>
    <w:rsid w:val="56AD7471"/>
    <w:rsid w:val="56EB3361"/>
    <w:rsid w:val="56F40954"/>
    <w:rsid w:val="56F72F30"/>
    <w:rsid w:val="570D256E"/>
    <w:rsid w:val="57301450"/>
    <w:rsid w:val="574D339C"/>
    <w:rsid w:val="5753468B"/>
    <w:rsid w:val="575B3101"/>
    <w:rsid w:val="5760479D"/>
    <w:rsid w:val="576D43D6"/>
    <w:rsid w:val="5779650A"/>
    <w:rsid w:val="57BA33E6"/>
    <w:rsid w:val="57C451DA"/>
    <w:rsid w:val="57E12441"/>
    <w:rsid w:val="57E52AC8"/>
    <w:rsid w:val="57F25C54"/>
    <w:rsid w:val="58037259"/>
    <w:rsid w:val="580B1E0B"/>
    <w:rsid w:val="58164A86"/>
    <w:rsid w:val="584410CC"/>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10C61"/>
    <w:rsid w:val="5D126228"/>
    <w:rsid w:val="5D1949C1"/>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AC0CC5"/>
    <w:rsid w:val="5EB75E1B"/>
    <w:rsid w:val="5EC56393"/>
    <w:rsid w:val="5EF078DD"/>
    <w:rsid w:val="5EF62DCD"/>
    <w:rsid w:val="5EFB0071"/>
    <w:rsid w:val="5EFE34A1"/>
    <w:rsid w:val="5F173FD8"/>
    <w:rsid w:val="5F3262F4"/>
    <w:rsid w:val="5F5C27E5"/>
    <w:rsid w:val="5F6938A8"/>
    <w:rsid w:val="5F6E2815"/>
    <w:rsid w:val="5F7C06D8"/>
    <w:rsid w:val="5FA1081C"/>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F3FB5"/>
    <w:rsid w:val="63021DE2"/>
    <w:rsid w:val="63112339"/>
    <w:rsid w:val="632C21E9"/>
    <w:rsid w:val="632C2662"/>
    <w:rsid w:val="633A0F04"/>
    <w:rsid w:val="6340127C"/>
    <w:rsid w:val="63654FE0"/>
    <w:rsid w:val="63AA5332"/>
    <w:rsid w:val="63C61233"/>
    <w:rsid w:val="63FF6AFB"/>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DBF57D4"/>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63635"/>
    <w:rsid w:val="709E757C"/>
    <w:rsid w:val="70AB6982"/>
    <w:rsid w:val="70B960E4"/>
    <w:rsid w:val="70BD0161"/>
    <w:rsid w:val="70CE2945"/>
    <w:rsid w:val="70E03E42"/>
    <w:rsid w:val="710003A8"/>
    <w:rsid w:val="710376A0"/>
    <w:rsid w:val="710F0BB8"/>
    <w:rsid w:val="71194261"/>
    <w:rsid w:val="711C5BB5"/>
    <w:rsid w:val="71375D39"/>
    <w:rsid w:val="7144689C"/>
    <w:rsid w:val="714872A8"/>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B43C7"/>
    <w:rsid w:val="729B556A"/>
    <w:rsid w:val="72A264DB"/>
    <w:rsid w:val="72AA2B66"/>
    <w:rsid w:val="72BD48D1"/>
    <w:rsid w:val="72C65D78"/>
    <w:rsid w:val="72D7336E"/>
    <w:rsid w:val="72FD0906"/>
    <w:rsid w:val="7313580C"/>
    <w:rsid w:val="73300890"/>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6351D9E"/>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5666E2"/>
    <w:rsid w:val="77653ACC"/>
    <w:rsid w:val="77747DD3"/>
    <w:rsid w:val="77A82770"/>
    <w:rsid w:val="77BD7E72"/>
    <w:rsid w:val="77ED0386"/>
    <w:rsid w:val="77F72469"/>
    <w:rsid w:val="77F854D4"/>
    <w:rsid w:val="78065036"/>
    <w:rsid w:val="780D5CB6"/>
    <w:rsid w:val="78366B8C"/>
    <w:rsid w:val="783B287A"/>
    <w:rsid w:val="78482C69"/>
    <w:rsid w:val="785E7689"/>
    <w:rsid w:val="788249B9"/>
    <w:rsid w:val="78B2035E"/>
    <w:rsid w:val="78B43B82"/>
    <w:rsid w:val="78B57D9C"/>
    <w:rsid w:val="78BB76EA"/>
    <w:rsid w:val="78E26C73"/>
    <w:rsid w:val="78E76B0F"/>
    <w:rsid w:val="78F65C61"/>
    <w:rsid w:val="78FB1BD1"/>
    <w:rsid w:val="79213328"/>
    <w:rsid w:val="7964511F"/>
    <w:rsid w:val="79824E81"/>
    <w:rsid w:val="79956A1C"/>
    <w:rsid w:val="799E7491"/>
    <w:rsid w:val="799F3F47"/>
    <w:rsid w:val="79A72484"/>
    <w:rsid w:val="79BA471D"/>
    <w:rsid w:val="79DF005F"/>
    <w:rsid w:val="79E028EC"/>
    <w:rsid w:val="7A114E8A"/>
    <w:rsid w:val="7A1C5B1C"/>
    <w:rsid w:val="7A233119"/>
    <w:rsid w:val="7A2D6C9D"/>
    <w:rsid w:val="7A4653BA"/>
    <w:rsid w:val="7A765EEC"/>
    <w:rsid w:val="7A773B5D"/>
    <w:rsid w:val="7A790CA9"/>
    <w:rsid w:val="7AB83F1D"/>
    <w:rsid w:val="7AD234FC"/>
    <w:rsid w:val="7AD86C9B"/>
    <w:rsid w:val="7ADD6AF4"/>
    <w:rsid w:val="7AE2061C"/>
    <w:rsid w:val="7AF937F5"/>
    <w:rsid w:val="7B002131"/>
    <w:rsid w:val="7B0864F6"/>
    <w:rsid w:val="7B1B16D3"/>
    <w:rsid w:val="7B2E6780"/>
    <w:rsid w:val="7B5D217A"/>
    <w:rsid w:val="7B614801"/>
    <w:rsid w:val="7B684A54"/>
    <w:rsid w:val="7B913B86"/>
    <w:rsid w:val="7B97422A"/>
    <w:rsid w:val="7BA969F0"/>
    <w:rsid w:val="7BB31B68"/>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57586"/>
    <w:rsid w:val="7E9B11AA"/>
    <w:rsid w:val="7EA32AD0"/>
    <w:rsid w:val="7ED55007"/>
    <w:rsid w:val="7ED953E3"/>
    <w:rsid w:val="7EF765D0"/>
    <w:rsid w:val="7EF87C96"/>
    <w:rsid w:val="7F086927"/>
    <w:rsid w:val="7F215D8A"/>
    <w:rsid w:val="7F301B1E"/>
    <w:rsid w:val="7F375D0A"/>
    <w:rsid w:val="7F500CBA"/>
    <w:rsid w:val="7F587DE1"/>
    <w:rsid w:val="7F61016D"/>
    <w:rsid w:val="7F6D28E2"/>
    <w:rsid w:val="7F820D78"/>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1"/>
    <w:next w:val="1"/>
    <w:qFormat/>
    <w:uiPriority w:val="9"/>
    <w:pPr>
      <w:numPr>
        <w:ilvl w:val="3"/>
        <w:numId w:val="1"/>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标题 1 Char"/>
    <w:link w:val="2"/>
    <w:qFormat/>
    <w:uiPriority w:val="99"/>
    <w:rPr>
      <w:rFonts w:ascii="Arial" w:hAnsi="Arial" w:eastAsia="黑体"/>
      <w:b/>
      <w:bCs/>
      <w:sz w:val="30"/>
      <w:szCs w:val="30"/>
      <w:lang w:val="zh-CN"/>
    </w:rPr>
  </w:style>
  <w:style w:type="character" w:customStyle="1" w:styleId="35">
    <w:name w:val="标题 3 Char"/>
    <w:link w:val="4"/>
    <w:qFormat/>
    <w:uiPriority w:val="9"/>
    <w:rPr>
      <w:b/>
      <w:bCs/>
      <w:sz w:val="32"/>
      <w:szCs w:val="32"/>
    </w:rPr>
  </w:style>
  <w:style w:type="character" w:customStyle="1" w:styleId="36">
    <w:name w:val="页眉 Char"/>
    <w:link w:val="18"/>
    <w:qFormat/>
    <w:uiPriority w:val="0"/>
    <w:rPr>
      <w:rFonts w:ascii="Arial" w:hAnsi="Arial" w:eastAsia="MS Mincho"/>
      <w:b/>
      <w:szCs w:val="24"/>
      <w:lang w:eastAsia="en-US"/>
    </w:rPr>
  </w:style>
  <w:style w:type="character" w:customStyle="1" w:styleId="37">
    <w:name w:val="批注主题 Char"/>
    <w:link w:val="22"/>
    <w:semiHidden/>
    <w:qFormat/>
    <w:uiPriority w:val="99"/>
    <w:rPr>
      <w:b/>
      <w:bCs/>
    </w:rPr>
  </w:style>
  <w:style w:type="character" w:customStyle="1" w:styleId="38">
    <w:name w:val="脚注文本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题注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批注文字 Char"/>
    <w:basedOn w:val="26"/>
    <w:link w:val="14"/>
    <w:qFormat/>
    <w:uiPriority w:val="0"/>
  </w:style>
  <w:style w:type="character" w:customStyle="1" w:styleId="51">
    <w:name w:val="正文文本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批注框文本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文档结构图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BC46BC-ACEB-490F-B2FB-4C0E41EB92B2}">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26</Pages>
  <Words>11206</Words>
  <Characters>63877</Characters>
  <Lines>532</Lines>
  <Paragraphs>149</Paragraphs>
  <TotalTime>21</TotalTime>
  <ScaleCrop>false</ScaleCrop>
  <LinksUpToDate>false</LinksUpToDate>
  <CharactersWithSpaces>74934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ZTE_YK2</cp:lastModifiedBy>
  <dcterms:modified xsi:type="dcterms:W3CDTF">2021-09-30T06:27:24Z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